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WYNN</w:t>
      </w:r>
      <w:r>
        <w:rPr>
          <w:rFonts w:ascii="Calibri" w:hAnsi="Calibri"/>
          <w:b/>
          <w:color w:val="1A2010"/>
          <w:sz w:val="40"/>
        </w:rPr>
        <w:t xml:space="preserve">  Wynn Resorts, Limited</w:t>
      </w:r>
    </w:p>
    <w:p>
      <w:pPr>
        <w:spacing w:after="120"/>
      </w:pPr>
      <w:r>
        <w:rPr>
          <w:rFonts w:ascii="Calibri" w:hAnsi="Calibri"/>
          <w:b/>
          <w:color w:val="6E8450"/>
          <w:sz w:val="18"/>
        </w:rPr>
        <w:t>GROWTH SLEEVE · 2026-09-17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Resorts &amp; Casinos · NASDAQ · United States</w:t>
      </w:r>
    </w:p>
    <w:p>
      <w:pPr>
        <w:spacing w:after="80"/>
      </w:pPr>
      <w:r>
        <w:rPr>
          <w:rFonts w:ascii="Calibri" w:hAnsi="Calibri"/>
          <w:b w:val="0"/>
          <w:color w:val="3A4A28"/>
          <w:sz w:val="20"/>
        </w:rPr>
        <w:t>Wynn Resorts, Limited develops, owns, and operates ultra-luxury destination casino resorts, holding more Forbes Five-Star awards than any independent hotel company in the world across its Wynn Las Vegas, Encore Boston Harbor, Wynn Macau, and Wynn Palace (Cotai) properties. Under CEO Craig Billings, who took over in February 2022 after serving as CFO, the company reported FY2025 operating revenue of $7.14 billion and is investing $1.1 billion in a new Encore Tower in Las Vegas while building Wynn Al Marjan Island in the UAE -- the first legal casino resort in the Middle East, expected to open in 2027.</w:t>
      </w:r>
    </w:p>
    <w:p>
      <w:r>
        <w:rPr>
          <w:rFonts w:ascii="Calibri" w:hAnsi="Calibri"/>
          <w:b/>
          <w:color w:val="6E8450"/>
          <w:sz w:val="18"/>
        </w:rPr>
        <w:t>28,500 Employees · https://www.wynnresorts.com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Wynn has consistently executed on its ultra-luxury positioning across Las Vegas, Boston, and Macau, and Q1 2026 revenue rose $156.4M year-over-year to $1.86B, with Macau properties (Wynn Palace +$113.8M, Wynn Macau +$7.3M in Q2) showing the strongest momentum [1]. AI Deployment (1/2): The $1.1B Encore Tower project integrates smart-room technology and AI-driven concierge services, but the investment is still under construction with no realized guest-experience or cost metrics yet reported [2]. Market Share (1/2): Wynn holds a top-tier position in the ultra-premium segment of Macau and Las Vegas gaming but is smaller in scale than Las Vegas Sands, MGM, and Galaxy Entertainment [1]. Pipeline (2/2): Wynn Al Marjan Island in the UAE represents the single boldest pipeline bet in the global gaming industry -- the first legal casino resort in the Middle East -- opening in 2027 and creating a genuinely new market rather than incremental capacity [2]. R&amp;D Intensity (1/1): The Encore Tower and UAE project both reflect sustained capital reinvestment into next-generation guest experience technology relative to a mature, capital-intensive hospitality peer group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Wynn's stated purpose centers on delivering the highest standard of luxury hospitality, which is a genuine operating discipline but not a mission distinct from other ultra-premium operators, and the core gambling business creates inherent tension with broader stakeholder welfare. Community Impact (1/2): Wynn's ESG program includes a comprehensive Human Trafficking Prevention program, a net-zero-by-2050 commitment, and a 16% reduction in Wynn Las Vegas water consumption versus 2019, representing real but largely standard industry ESG practice [3]. Employee Retention (0/2): No specific retention or tenure data was identified, and the hospitality/gaming industry broadly experiences high frontline turnover. Insider Buying (0/2): No evidence of notable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Wynn's Forward P/E of 16.35 and trailing PEG of 0.78 both score at or near maximum against the 20x and 1.0x targets, reflecting a reasonably priced growth profile relative to its earnings trajectory [4]. Profit margin of 6.05% and revenue growth of roughly 6.9% (TTM ending Q2 2026 revenue of $7.41B, up from $7.14B in FY2025) are both moderate, scoring well below their 20% and 10% targets respectively [1][4]. Standard ROE and D/E ratios were not reported/meaningful because Wynn, like many heavily-levered casino operators that have returned significant capital to shareholders over the years, carries a stressed or negative stockholders' equity base, so both metrics were excluded from the weighted calculation rather than penalizing the score with a distorted ratio. Liquidity is not a constraint: average daily dollar volume of roughly $133M is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Wynn plays a moderately infinite game: CEO Craig Billings has committed the company to Wynn Al Marjan Island, a multi-billion-dollar, decade-defining bet on opening the Middle East's first legal casino resort, representing genuine existential flexibility and courage to lead through geographic and regulatory uncertainty. However, the underlying gambling business model and lack of a deeply articulated Just Cause beyond luxury service excellence keep the mindset mixed rather than fully infinite.</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Wynn's cause of delivering the world's most awarded luxury hospitality experiences is genuinely pursued and reflected in its Forbes Five-Star record, but as a gaming company it does not articulate a cause beyond commercial excellence, and the core product carries inherent social tension around problem gambling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evidence of exceptional internal trust practices, turnover data, or employee development programs distinct from industry norms was identified in the research window, though no negative culture signals surfaced either.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Wynn competes with Las Vegas Sands, MGM Resorts, and Galaxy Entertainment on brand prestige and guest experience rather than predatory pricing or anti-competitive tactics in both the Macau and Las Vegas markets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Wynn Al Marjan Island represents the boldest strategic diversification in the global gaming industry -- entering an entirely new, previously non-gaming-legal jurisdiction (UAE) years ahead of any competitor, fundamentally expanding the company's addressable market beyond its historical Macau/Las Vegas duopoly dependence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Billings committed billions of dollars to a first-of-its-kind Middle East casino resort and a $1.1B Encore Tower redevelopment simultaneously, accepting substantial execution and regulatory risk for a multi-year payoff rather than optimizing for near-term capital returns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Wynn Resorts trades at a reasonable 16.3x forward earnings and 0.78 PEG for an ultra-premium gaming operator with accelerating Macau momentum -- Wynn Palace revenue rose $113.8M year-over-year in Q2 2026 -- and a brand moat that is among the most AI-resistant in global hospitality [1][2][4]. The $1.1B Encore Tower redevelopment and the first-mover Wynn Al Marjan Island project in the UAE give the company genuine long-duration growth optionality beyond the mature Macau/Las Vegas duopoly, while CEO Craig Billings has demonstrated financial discipline since stepping up from CFO in 2022 [1][2].</w:t>
      </w:r>
    </w:p>
    <w:p>
      <w:pPr>
        <w:spacing w:after="120"/>
      </w:pPr>
      <w:r>
        <w:rPr>
          <w:rFonts w:ascii="Calibri" w:hAnsi="Calibri"/>
          <w:b w:val="0"/>
          <w:color w:val="3A4A28"/>
          <w:sz w:val="20"/>
        </w:rPr>
        <w:t>The bear case centers on gaming-sector cyclicality and geopolitical/regulatory concentration: roughly half of Wynn's revenue still depends on Macau, where Chinese consumer spending and regulatory posture can shift abruptly, and the UAE project carries meaningful execution risk as the first legal casino resort in an unproven regulatory jurisdiction [1][2]. The Inspire Impact Score of -1 (MIXED) reflects the fundamental tension in the gaming business model -- a single Gambling attribution offsets an otherwise long list of positive ESG attributions spanning labor practices, human rights, and sustainability, meaning faith-based investors will weigh the core product itself, not just Wynn's operating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Wynn Al Marjan Island opening in 2027 as the first legal casino resort in the Middle East, opening an entirely new, high-growth regional market years ahead of any competitor [2]</w:t>
      </w:r>
    </w:p>
    <w:p>
      <w:pPr>
        <w:spacing w:before="40" w:after="40"/>
        <w:ind w:left="283"/>
      </w:pPr>
      <w:r>
        <w:rPr>
          <w:rFonts w:ascii="Calibri" w:hAnsi="Calibri"/>
          <w:b/>
          <w:color w:val="4A6B25"/>
          <w:sz w:val="20"/>
        </w:rPr>
        <w:t xml:space="preserve">2. </w:t>
      </w:r>
      <w:r>
        <w:rPr>
          <w:rFonts w:ascii="Calibri" w:hAnsi="Calibri"/>
          <w:b w:val="0"/>
          <w:color w:val="3A4A28"/>
          <w:sz w:val="20"/>
        </w:rPr>
        <w:t>Continued Macau recovery momentum, with Wynn Palace revenue up $113.8M and Wynn Macau up $7.3M year-over-year in Q2 2026, suggesting further share gains in the ultra-premium segment [1]</w:t>
      </w:r>
    </w:p>
    <w:p>
      <w:pPr>
        <w:spacing w:before="40" w:after="40"/>
        <w:ind w:left="283"/>
      </w:pPr>
      <w:r>
        <w:rPr>
          <w:rFonts w:ascii="Calibri" w:hAnsi="Calibri"/>
          <w:b/>
          <w:color w:val="4A6B25"/>
          <w:sz w:val="20"/>
        </w:rPr>
        <w:t xml:space="preserve">3. </w:t>
      </w:r>
      <w:r>
        <w:rPr>
          <w:rFonts w:ascii="Calibri" w:hAnsi="Calibri"/>
          <w:b w:val="0"/>
          <w:color w:val="3A4A28"/>
          <w:sz w:val="20"/>
        </w:rPr>
        <w:t>Completion of the $1.1B Encore Tower in Las Vegas with AI-integrated smart-room and concierge technology, which could support premium room rate growth upon opening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revenue concentration in Macau exposes Wynn to Chinese regulatory policy shifts, currency controls, and consumer spending cycles largely outside management's control [1]</w:t>
      </w:r>
    </w:p>
    <w:p>
      <w:pPr>
        <w:spacing w:before="40" w:after="40"/>
        <w:ind w:left="283"/>
      </w:pPr>
      <w:r>
        <w:rPr>
          <w:rFonts w:ascii="Calibri" w:hAnsi="Calibri"/>
          <w:b/>
          <w:color w:val="4A6B25"/>
          <w:sz w:val="20"/>
        </w:rPr>
        <w:t xml:space="preserve">2. </w:t>
      </w:r>
      <w:r>
        <w:rPr>
          <w:rFonts w:ascii="Calibri" w:hAnsi="Calibri"/>
          <w:b w:val="0"/>
          <w:color w:val="3A4A28"/>
          <w:sz w:val="20"/>
        </w:rPr>
        <w:t>Wynn Al Marjan Island carries substantial execution and regulatory risk as a first-of-its-kind project in a jurisdiction with no prior legal gaming precedent, and delays or cost overruns could pressure the balance sheet [2]</w:t>
      </w:r>
    </w:p>
    <w:p>
      <w:pPr>
        <w:spacing w:before="40" w:after="40"/>
        <w:ind w:left="283"/>
      </w:pPr>
      <w:r>
        <w:rPr>
          <w:rFonts w:ascii="Calibri" w:hAnsi="Calibri"/>
          <w:b/>
          <w:color w:val="4A6B25"/>
          <w:sz w:val="20"/>
        </w:rPr>
        <w:t xml:space="preserve">3. </w:t>
      </w:r>
      <w:r>
        <w:rPr>
          <w:rFonts w:ascii="Calibri" w:hAnsi="Calibri"/>
          <w:b w:val="0"/>
          <w:color w:val="3A4A28"/>
          <w:sz w:val="20"/>
        </w:rPr>
        <w:t>A stressed or negative stockholders' equity position (reflected in the exclusion of standard ROE/D/E metrics from this analysis) signals a highly leveraged capital structure that leaves less room for error during a gaming-demand downturn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Wynn's ultra-premium brand moat, human relationship capital in high-roller gaming relationships, and the physical irreducibility of a destination luxury resort experience place it among the most AI-resistant business models in global hospitality -- the high-roller host relationship model cannot be automated without destroying the brand equity that justifies premium pricing [2]. Regulatory licensing barriers in Macau, Nevada, Massachusetts, and now the UAE further insulate the business from software-only disruption. AI Opportunity (1/1): The $1.1B Encore Tower investment explicitly integrates AI-driven concierge services and smart-room technology, giving Wynn a disclosed, capital-committed path to use AI as a guest-experience enabler rather than merely defending against disruption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Wynn Resorts Limited Q1 2026, Q2 2026, and FY2025 Earnings Press Releases -- SEC 8-K Filings, investors.wynnresorts.com, 2025-2026</w:t>
      </w:r>
    </w:p>
    <w:p>
      <w:pPr>
        <w:spacing w:before="20" w:after="20"/>
        <w:ind w:left="170"/>
      </w:pPr>
      <w:r>
        <w:rPr>
          <w:rFonts w:ascii="Calibri" w:hAnsi="Calibri"/>
          <w:b/>
          <w:color w:val="4A6B25"/>
          <w:sz w:val="15"/>
        </w:rPr>
        <w:t xml:space="preserve">2. </w:t>
      </w:r>
      <w:r>
        <w:rPr>
          <w:rFonts w:ascii="Calibri" w:hAnsi="Calibri"/>
          <w:b w:val="0"/>
          <w:color w:val="3A4A28"/>
          <w:sz w:val="17"/>
        </w:rPr>
        <w:t>Wynn Resorts: Ultra-Premium Gaming and Hospitality in the AI Personalization Era -- PitchGrade Research; CEO Craig Billings profile; Encore Tower and Wynn Al Marjan Island UAE project, 2026</w:t>
      </w:r>
    </w:p>
    <w:p>
      <w:pPr>
        <w:spacing w:before="20" w:after="20"/>
        <w:ind w:left="170"/>
      </w:pPr>
      <w:r>
        <w:rPr>
          <w:rFonts w:ascii="Calibri" w:hAnsi="Calibri"/>
          <w:b/>
          <w:color w:val="4A6B25"/>
          <w:sz w:val="15"/>
        </w:rPr>
        <w:t xml:space="preserve">3. </w:t>
      </w:r>
      <w:r>
        <w:rPr>
          <w:rFonts w:ascii="Calibri" w:hAnsi="Calibri"/>
          <w:b w:val="0"/>
          <w:color w:val="3A4A28"/>
          <w:sz w:val="17"/>
        </w:rPr>
        <w:t>Wynn Resorts 2025 Environmental, Social, and Governance Report -- Net-Zero Commitment, Human Trafficking Prevention Program, Water Conservation, wynnresorts.com</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WYNN Key Statistics (Forward P/E 16.35, PEG 0.78, Profit Margin 6.05%),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