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WY</w:t>
      </w:r>
      <w:r>
        <w:rPr>
          <w:rFonts w:ascii="Calibri" w:hAnsi="Calibri"/>
          <w:b/>
          <w:color w:val="1A2010"/>
          <w:sz w:val="40"/>
        </w:rPr>
        <w:t xml:space="preserve">  Weyerhaeuser Company</w:t>
      </w:r>
    </w:p>
    <w:p>
      <w:pPr>
        <w:spacing w:after="120"/>
      </w:pPr>
      <w:r>
        <w:rPr>
          <w:rFonts w:ascii="Calibri" w:hAnsi="Calibri"/>
          <w:b/>
          <w:color w:val="6E8450"/>
          <w:sz w:val="18"/>
        </w:rPr>
        <w:t>DIVIDEND SLEEVE · 2026-10-17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Specialty · NYQ · United States</w:t>
      </w:r>
    </w:p>
    <w:p>
      <w:pPr>
        <w:spacing w:after="80"/>
      </w:pPr>
      <w:r>
        <w:rPr>
          <w:rFonts w:ascii="Calibri" w:hAnsi="Calibri"/>
          <w:b w:val="0"/>
          <w:color w:val="3A4A28"/>
          <w:sz w:val="20"/>
        </w:rPr>
        <w:t>Weyerhaeuser is one of the world's largest private owners of timberlands, owning or controlling over 10 million acres in the U.S. and managing additional public timberlands under long-term licenses in Canada. Founded in 1900 and structured as a timber REIT, the company operates through Timberlands, Real Estate/Energy/Natural Resources, and Wood Products segments, generating $6.9B in FY2025 revenue. Q2 2026 revenue was approximately $1.87B with adjusted EBITDA of $310M, including a $71M gain from timberlands divestitures. The company manages 100% of its timberlands on a sustainably certified basis [1][2].</w:t>
      </w:r>
    </w:p>
    <w:p>
      <w:r>
        <w:rPr>
          <w:rFonts w:ascii="Calibri" w:hAnsi="Calibri"/>
          <w:b/>
          <w:color w:val="6E8450"/>
          <w:sz w:val="18"/>
        </w:rPr>
        <w:t>9,500 Employees · https://www.weyerhaeuser.com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Weyerhaeuser has expanded into adjacent businesses — climate solutions, real estate development, energy/natural resources — beyond its timber and wood products core. The REIT conversion (2010) was a structural transformation, though now 16 years ago. Recent moves include timberland divestitures to optimize the portfolio and carbon credit monetization initiatives [1]. These are incremental, not transformative. AI Deployment (0/2): No AI-powered products or quantified AI-driven operational savings. CEO Stockfish has referenced 'emerging technologies and innovations' as opportunities, but no specific AI deployments have been announced or quantified [2]. Market Share (2/2): Weyerhaeuser is one of the world's largest private timberland owners with 10M+ acres, and one of the largest wood products manufacturers in North America, giving it dominant market positioning in structural lumber, OSB, and engineered wood products. This asset base represents an irreplaceable competitive advantage [1][2]. Product Pipeline (0/2): No specific next-generation products with timelines. The business is commodity-oriented (timber, lumber, OSB, EWP), and climate solutions/carbon credits remain early-stage. No quantified pipeline visibility beyond normal operating cycle. R&amp;D Intensity (0/1): Timber REITs invest primarily in silviculture and operational efficiency, not R&amp;D. No evidence of above-average R&amp;D spending relative to REIT or forestry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Weyerhaeuser has a specific and thoughtful purpose rooted in sustainable forestry — the company has maintained 100% reforestation of timberlands for over a century, with core values of safety, integrity, citizenship, sustainability, and inclusion deeply embedded in operations [2][3]. CEO Stockfish describes culture as a competitive advantage, and the company's 126-year history of forest stewardship demonstrates genuine intentionality beyond shareholder returns. The mission connects forestry to environmental stewardship in a credible, differentiated way. Falls short of a 4 because the purpose, while authentic, hasn't driven the kind of transformative strategic decisions that Sinek would cite as the cause being the competitive advantage. Community Impact (1/2): Weyerhaeuser has operated in rural timber communities since 1900, providing jobs and economic activity. The company set science-based GHG reduction targets and manages all timberlands under internationally recognized sustainable forestry standards [3]. However, no specific charitable dollar amounts, foundation activities, or distinctive community investment programs were identified. Employee Retention (1/2): CEO Devin Stockfish, appointed in 2019, is described by the board as having a 'passion for developing people' and focuses on field operations and culture. The 2024 8-K credits him with 'strengthening the company's culture of innovation and execution' [2]. The five key behaviors (urgency, accountability, courage, simplicity, innovation) suggest intentional culture-building, but no specific turnover data is available. Insider Buying (0/2): No evidence of meaningful net insider buying by Stockfish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Weyerhaeuser's financial profile reflects the cyclical timber REIT model with strong asset backing but weak current profitability. D/E of 57.6% is well below the 70% target (score 1.0), reflecting conservative leverage appropriate for a REIT with long-duration timber assets [1]. ROE of 4.97% is low, scoring 0.33 against the 15% target, reflecting depressed earnings from the housing downturn. Revenue growth of -0.9% YoY scores 0.64 between the -20% floor and 10% target, as housing starts remain below long-term averages [1]. Forward P/E of 31.7 scores 0.71 between the 20 target and 60 floor. Profit margin of 6.9% scores 0.35 below the 20% target, compressed by weak lumber and OSB pricing. Payout ratio of 129.2% exceeds the 100% floor (score 0.0) — common for REITs that distribute most GAAP earnings plus timber depletion adjustments [1]. Consecutive years paid of 49 scores 1.0 (2x weight), reflecting an extraordinary dividend payment history since 1977. Consecutive years growth of 0 scores 0.0, as total dividends (including specials) have declined since the 2022 peak. 5yr dividend growth CAGR of 10.5% scores 1.0 (2x weight), though this metric is distorted by the abnormally low 2020 COVID-cut base ($0.51) recovering to $0.84 [1]. Daily dollar volume of $130M provides strong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Weyerhaeuser demonstrates meaningful infinite game qualities through its 126-year commitment to sustainable forestry, multi-generational timberland management, and purpose-driven culture. The company's business model inherently requires infinite thinking — managing 25-40 year timber rotation cycles means every planting decision is a bet on a future beyond any single executive's tenure. CEO Stockfish's emphasis on culture and people development reflects organizational values that transcend quarterly results. However, the company's strategic evolution has been incremental rather than transformative, and the cyclical commodity nature of wood products creates pressure toward finite, quarter-to-quarter management.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Weyerhaeuser's purpose — sustainable forest stewardship connecting economic value to environmental responsibility — has been validated by 126 years of execution. The company has maintained 100% reforestation since its founding, and managing timber on multi-decade rotation cycles is inherently a statement about building for the future rather than this quarter [2][3]. The purpose is specific, distinctive (few companies can claim a century of consistent environmental stewardship), and drives operational decisions. Falls short of 3/3 because the purpose doesn't yet serve as THE competitive advantage in the Sinek sense — timber quality and forest management practices are valuable but haven't created the kind of ecosystem moat that a transcendent just cause can build.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Stockfish is described as having a 'passion for developing people' and spends significant time in field operations, suggesting a leadership style oriented toward employee empowerment [2]. The company's core behaviors — urgency, accountability, courage, simplicity, innovation — are actively managed cultural values, not just wall slogans. The board describes a culture of 'innovation and execution' that Stockfish has strengthened. However, no specific voluntary turnover data, employee satisfaction scores, or psychological safety evidence distinguishes Weyerhaeuser from REIT or forestry industry norms.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Weyerhaeuser operates in a commodity market where long-term competitiveness depends on operational excellence and sustainable practices rather than destroying rivals. The company's competitive language focuses on being the best steward of its timberlands, optimizing silviculture practices, and improving manufacturing efficiency — self-improvement rather than competitor destruction [2]. The commodity nature of the business naturally encourages learning from industry best practices, and Weyerhaeuser's sustainability leadership position reflects using competitive dynamics to improve its own practices rather than attacking others.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Weyerhaeuser has adapted its business model through meaningful transitions — converting to a REIT structure in 2010, divesting pulp and paper operations, entering climate solutions and carbon credit markets, and expanding into real estate, energy, and natural resources [1][2]. These represent incremental but meaningful adaptations to changing market conditions. The company recently divested timberlands generating a $71M gain, demonstrating willingness to optimize the portfolio. However, no single pivot was transformative in the Sinek sense of abandoning a core business in service of the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Weyerhaeuser has maintained its commitment to sustainable forestry through multiple commodity cycles, continuing to invest in timberland management and reforestation even during severe housing downturns when short-term returns were negative [1][2]. Managing 25-40 year timber rotation cycles requires inherent courage — every planting decision foregoes short-term returns for long-term value. The REIT conversion was a structurally courageous move that transformed the company's tax and capital structure. However, the commodity nature of the business means many decisions are dictated by market cycles rather than principle.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Weyerhaeuser at $19.61 with a $14.1B market cap is the premier U.S. timber REIT offering exposure to housing recovery and sustainable natural resource ownership. The company controls 10M+ acres of timberlands — an irreplaceable, self-renewing asset base that has generated value for 126 years. The dividend yields 4.28% with 49 years of continuous payment, and D/E of 57.6% reflects conservative leverage for a REIT [1]. Q2 2026 lumber realizations rose 15% QoQ on seasonal demand and supply constraints, and earnings of $0.23/share included a $71M timberlands divestiture gain [1]. The AI Resilience score of 9 reflects complete structural immunity to AI disruption, and the Infinite Game score of 6 captures the inherently long-term nature of managing timber on multi-decade rotation cycles [2].</w:t>
      </w:r>
    </w:p>
    <w:p>
      <w:pPr>
        <w:spacing w:after="120"/>
      </w:pPr>
      <w:r>
        <w:rPr>
          <w:rFonts w:ascii="Calibri" w:hAnsi="Calibri"/>
          <w:b w:val="0"/>
          <w:color w:val="3A4A28"/>
          <w:sz w:val="20"/>
        </w:rPr>
        <w:t>The bear case centers on the protracted housing downturn. Revenue declined 0.9% YoY and is down 32% from the 2022 peak of $10.2B, reflecting weak single-family housing starts from elevated mortgage rates — approximately 65% of demand comes from residential construction [1]. Profit margin of 6.9% and ROE of 4.97% are deeply compressed from cycle peaks, with forward P/E of 31.7 pricing in significant earnings recovery that depends on housing recovery timing [1]. The payout ratio of 129.2% exceeds 100%, meaning the company is distributing more than GAAP earnings — sustainable for a REIT with timber depletion adjustments but signaling limited dividend growth capacity until earnings recover. OSB remains pressured by oversupply and weak demand. Q3 guidance calls for wood products earnings to decline from Q2 due to higher fuel costs and mix shift [1]. The 5yr dividend growth CAGR of 10.5% is distorted by the abnormally low 2020 COVID base ($0.51/share), masking the actual declining dividend trend since 2022 ($2.17 to $0.84 in 2025). The stock trades at 10% below its 50-day SMA of $21.81.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Housing recovery — any decline in mortgage rates would accelerate single-family housing starts, directly driving lumber, OSB, and EWP demand that constitutes ~65% of Weyerhaeuser's revenue base [1]</w:t>
      </w:r>
    </w:p>
    <w:p>
      <w:pPr>
        <w:spacing w:before="40" w:after="40"/>
        <w:ind w:left="283"/>
      </w:pPr>
      <w:r>
        <w:rPr>
          <w:rFonts w:ascii="Calibri" w:hAnsi="Calibri"/>
          <w:b/>
          <w:color w:val="4A6B25"/>
          <w:sz w:val="20"/>
        </w:rPr>
        <w:t xml:space="preserve">2. </w:t>
      </w:r>
      <w:r>
        <w:rPr>
          <w:rFonts w:ascii="Calibri" w:hAnsi="Calibri"/>
          <w:b w:val="0"/>
          <w:color w:val="3A4A28"/>
          <w:sz w:val="20"/>
        </w:rPr>
        <w:t>Irreplaceable timberland asset base of 10M+ acres appreciates over time as sustainably managed timber grows, providing biological growth optionality regardless of commodity prices [2]</w:t>
      </w:r>
    </w:p>
    <w:p>
      <w:pPr>
        <w:spacing w:before="40" w:after="40"/>
        <w:ind w:left="283"/>
      </w:pPr>
      <w:r>
        <w:rPr>
          <w:rFonts w:ascii="Calibri" w:hAnsi="Calibri"/>
          <w:b/>
          <w:color w:val="4A6B25"/>
          <w:sz w:val="20"/>
        </w:rPr>
        <w:t xml:space="preserve">3. </w:t>
      </w:r>
      <w:r>
        <w:rPr>
          <w:rFonts w:ascii="Calibri" w:hAnsi="Calibri"/>
          <w:b w:val="0"/>
          <w:color w:val="3A4A28"/>
          <w:sz w:val="20"/>
        </w:rPr>
        <w:t>Climate solutions and carbon credit monetization represent emerging revenue streams from the timberland portfolio, with Weyerhaeuser's science-based GHG targets positioning it as a sustainability leader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Protracted housing downturn — elevated mortgage rates have suppressed single-family starts below long-term averages, compressing revenue 32% from 2022 peak; Q3 2026 guidance calls for declining wood products earnings [1]</w:t>
      </w:r>
    </w:p>
    <w:p>
      <w:pPr>
        <w:spacing w:before="40" w:after="40"/>
        <w:ind w:left="283"/>
      </w:pPr>
      <w:r>
        <w:rPr>
          <w:rFonts w:ascii="Calibri" w:hAnsi="Calibri"/>
          <w:b/>
          <w:color w:val="4A6B25"/>
          <w:sz w:val="20"/>
        </w:rPr>
        <w:t xml:space="preserve">2. </w:t>
      </w:r>
      <w:r>
        <w:rPr>
          <w:rFonts w:ascii="Calibri" w:hAnsi="Calibri"/>
          <w:b w:val="0"/>
          <w:color w:val="3A4A28"/>
          <w:sz w:val="20"/>
        </w:rPr>
        <w:t>Payout ratio exceeds 100% (129.2%) — while sustainable for a timber REIT with non-cash depletion charges, further dividend cuts risk if earnings remain depressed; total dividends have already declined from $2.17 (2022) to $0.84 (2025) [1]</w:t>
      </w:r>
    </w:p>
    <w:p>
      <w:pPr>
        <w:spacing w:before="40" w:after="40"/>
        <w:ind w:left="283"/>
      </w:pPr>
      <w:r>
        <w:rPr>
          <w:rFonts w:ascii="Calibri" w:hAnsi="Calibri"/>
          <w:b/>
          <w:color w:val="4A6B25"/>
          <w:sz w:val="20"/>
        </w:rPr>
        <w:t xml:space="preserve">3. </w:t>
      </w:r>
      <w:r>
        <w:rPr>
          <w:rFonts w:ascii="Calibri" w:hAnsi="Calibri"/>
          <w:b w:val="0"/>
          <w:color w:val="3A4A28"/>
          <w:sz w:val="20"/>
        </w:rPr>
        <w:t>Commodity price exposure — lumber and OSB prices are volatile and subject to supply-demand dynamics beyond management control; OSB remains pressured by oversupply even as lumber benefits from seasonal strength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Weyerhaeuser's core business — growing timber on 10M+ acres and manufacturing wood products — is structurally immune to AI disruption. Trees must be physically grown over 25-40 year rotation cycles, harvested, and processed into lumber, OSB, and engineered wood products. AI cannot replicate biological timber growth, the physical manufacturing of wood products, or the irreplaceable asset base of 10M+ acres of owned timberland. The business involves deeply physical, regulated, and environmentally dependent processes that have no AI substitution path [1][2]. Housing construction — which drives ~65% of Weyerhaeuser's demand — requires physical building materials regardless of AI advances. AI data centers need physical construction, creating indirect demand for wood products in commercial building. The regulatory framework (sustainable forestry certification, environmental compliance) adds further structural protection. AI Opportunity (0/1): Weyerhaeuser does not generate AI-related revenue. AI could eventually optimize silviculture practices, mill operations, or logistics, but no specific AI products or revenue streams have been announced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Weyerhaeuser Q2 2026 Earnings — Revenue ~$1.87B, GAAP EPS $0.23 (incl. $71M Timberlands Gain), Adjusted EBITDA $310M, Lumber +15% QoQ, OSB Weak, Q3 Wood Products Lower, SEC 8-K/Nasdaq/MarketBeat, July-August 2026</w:t>
      </w:r>
    </w:p>
    <w:p>
      <w:pPr>
        <w:spacing w:before="20" w:after="20"/>
        <w:ind w:left="170"/>
      </w:pPr>
      <w:r>
        <w:rPr>
          <w:rFonts w:ascii="Calibri" w:hAnsi="Calibri"/>
          <w:b/>
          <w:color w:val="4A6B25"/>
          <w:sz w:val="15"/>
        </w:rPr>
        <w:t xml:space="preserve">2. </w:t>
      </w:r>
      <w:r>
        <w:rPr>
          <w:rFonts w:ascii="Calibri" w:hAnsi="Calibri"/>
          <w:b w:val="0"/>
          <w:color w:val="3A4A28"/>
          <w:sz w:val="17"/>
        </w:rPr>
        <w:t>Weyerhaeuser Leadership and Culture — CEO Devin Stockfish Since 2019, Culture as Competitive Advantage, Five Key Behaviors, Passion for Developing People, REIT Magazine/SEC Filings, 2019-2024</w:t>
      </w:r>
    </w:p>
    <w:p>
      <w:pPr>
        <w:spacing w:before="20" w:after="20"/>
        <w:ind w:left="170"/>
      </w:pPr>
      <w:r>
        <w:rPr>
          <w:rFonts w:ascii="Calibri" w:hAnsi="Calibri"/>
          <w:b/>
          <w:color w:val="4A6B25"/>
          <w:sz w:val="15"/>
        </w:rPr>
        <w:t xml:space="preserve">3. </w:t>
      </w:r>
      <w:r>
        <w:rPr>
          <w:rFonts w:ascii="Calibri" w:hAnsi="Calibri"/>
          <w:b w:val="0"/>
          <w:color w:val="3A4A28"/>
          <w:sz w:val="17"/>
        </w:rPr>
        <w:t>Weyerhaeuser ESG and Sustainability — 100% Reforestation, Science-Based GHG Targets, Sustainalytics Score 16.7, Controversy Level 2, Yahoo Finance/KnowESG/Company Materials, 2023-2026</w:t>
      </w:r>
    </w:p>
    <w:p>
      <w:pPr>
        <w:spacing w:before="20" w:after="20"/>
        <w:ind w:left="170"/>
      </w:pPr>
      <w:r>
        <w:rPr>
          <w:rFonts w:ascii="Calibri" w:hAnsi="Calibri"/>
          <w:b/>
          <w:color w:val="4A6B25"/>
          <w:sz w:val="15"/>
        </w:rPr>
        <w:t xml:space="preserve">4. </w:t>
      </w:r>
      <w:r>
        <w:rPr>
          <w:rFonts w:ascii="Calibri" w:hAnsi="Calibri"/>
          <w:b w:val="0"/>
          <w:color w:val="3A4A28"/>
          <w:sz w:val="17"/>
        </w:rPr>
        <w:t>Weyerhaeuser Housing Outlook — 65% Revenue from Single-Family Construction, Elevated Mortgage Rates, Analysts Expect 55% EPS Growth YoY for FY2026, Barchart/WalnutInvest,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