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XEL</w:t>
      </w:r>
      <w:r>
        <w:rPr>
          <w:rFonts w:ascii="Calibri" w:hAnsi="Calibri"/>
          <w:b/>
          <w:color w:val="1A2010"/>
          <w:sz w:val="40"/>
        </w:rPr>
        <w:t xml:space="preserve">  Xcel Energy Inc.</w:t>
      </w:r>
    </w:p>
    <w:p>
      <w:pPr>
        <w:spacing w:after="120"/>
      </w:pPr>
      <w:r>
        <w:rPr>
          <w:rFonts w:ascii="Calibri" w:hAnsi="Calibri"/>
          <w:b/>
          <w:color w:val="6E8450"/>
          <w:sz w:val="18"/>
        </w:rPr>
        <w:t>DIVIDEND SLEEVE · 2026-10-21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NMS · United States</w:t>
      </w:r>
    </w:p>
    <w:p>
      <w:pPr>
        <w:spacing w:after="80"/>
      </w:pPr>
      <w:r>
        <w:rPr>
          <w:rFonts w:ascii="Calibri" w:hAnsi="Calibri"/>
          <w:b w:val="0"/>
          <w:color w:val="3A4A28"/>
          <w:sz w:val="20"/>
        </w:rPr>
        <w:t>Xcel Energy is a regulated electric and natural gas utility serving approximately 3.7 million electricity customers and 2.1 million natural gas customers across eight Western and Midwestern states. The company operates through two segments — Regulated Electric and Regulated Natural Gas — generating TTM revenue of $14.6B with a 15.3% profit margin. Q2 2026 EPS rose 24% YoY to $0.93, with full-year 2026 EPS guidance of $4.04-$4.16 and long-term EPS growth guidance of 6-8%+ through 2030 [1].</w:t>
      </w:r>
    </w:p>
    <w:p>
      <w:r>
        <w:rPr>
          <w:rFonts w:ascii="Calibri" w:hAnsi="Calibri"/>
          <w:b/>
          <w:color w:val="6E8450"/>
          <w:sz w:val="18"/>
        </w:rPr>
        <w:t>11,534 Employees · https://www.my.xcelenergy.com/s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Xcel was the first major U.S. investor-owned utility to commit to 100% carbon-free electricity by 2050, and has steadily expanded its wind and solar portfolio while retiring coal plants [2]. However, this represents incremental evolution within the regulated utility model rather than a transformative business pivot. AI Deployment (0/2): No evidence of AI-powered products or quantifiable AI-driven cost savings; the only AI reference from employee reviews described internal rollout challenges rather than strategic deployment [2]. Market Share (1/2): Xcel holds regulated monopoly positions across portions of Colorado, Minnesota, Wisconsin, and five other states, providing stable but captive customer relationships with no meaningful competitive share dynamics [1]. Product Pipeline (1/2): Growing data center demand is a significant tailwind — weather-normalized retail electric sales projected to increase ~3% in 2026 — and the company is investing in grid infrastructure to accommodate AI-driven load growth [1]. R&amp;D Intensity (0/1): Utilities spend minimally on R&amp;D compared to technology or healthcare sectors; Xcel's capital allocation is focused on rate-base investment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Xcel's stated purpose — powering a better future for customers, communities, and the environment — is clear and connects to clean energy transformation, but remains interchangeable with most utility peers pursuing similar decarbonization goals [2]. Community Impact (1/2): The company operates community solar garden programs and invests in renewable energy access across its service territories, though specific dollar amounts for charitable giving or community development programs were not identified [3]. Employee Retention (0/2): Employee sentiment is notably poor — Comparably rates Xcel's leadership a D+ (bottom 25% of similar-sized companies), and Glassdoor reviews describe an 'old school leadership/management model' with advancement based on politics and favoritism rather than merit [2]. Insider Buying (0/2): No evidence of meaningful net insider buying by CEO Bob Frenzel or other senior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Xcel's financial profile is anchored by a favorable Forward P/E of 16.9 (score 1.0, well below the 20 target), reflecting reasonable valuation for a regulated utility [1]. Profit margin of 15.3% scores 0.76 and ROE of 9.9% scores 0.66, both modest but typical for the capital-intensive utility sector. D/E of 173.1% (score 0.55) reflects the heavy debt load required for rate-base investment, while revenue growth YoY of -5.1% (score 0.50) reflects quarterly volatility in a regulated model. The dividend profile is strong: 42+ consecutive years paid (score 1.0, 2x weight), 21 consecutive years of growth (score 1.0), payout ratio of 63.7% (score 0.61), and a 5-year dividend growth CAGR of 5.3% (score 0.88, 2x weight) [1]. Daily dollar volume of $406M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Xcel Energy operates with a mixed-to-finite mindset. The company's clean energy transition commitment — first major U.S. utility to target 100% carbon-free electricity by 2050 — provides a genuine long-term purpose, but execution relies on regulated rate cases and incremental capital deployment rather than bold strategic bets. Poor employee sentiment and an 'old school' management culture undermine the organizational trust that Sinek considers foundational. The CEO transition from Fowke to Frenzel was orderly, and the clean energy pivot is real, but the company lacks the cultural dynamism and strategic courage that distinguish infinite-minded organizations.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Xcel's commitment to 100% carbon-free electricity by 2050 is a distinctive and genuine purpose that connects the company's work to climate transformation, validated by steady coal plant retirements and renewable capacity additions over the past decade [2][3]. The cause differentiates Xcel from utility peers who adopted similar goals later and shapes capital allocation decisions. However, it has not yet been tested through a major crisis or leadership upheaval that would validate its durability, and the CEO transition to Frenzel introduces uncertainty about whether clean energy commitment will retain its strategic primacy.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paint a concerning picture of organizational culture. Comparably ratings place Xcel's leadership in the bottom 25% of similar-sized companies, and Glassdoor reviews describe leadership focused on 'politics, favors, and winning narrative for career growth' with an 'old school leadership/management model' [2]. One 2026 review noted that AI rollout and uneven hybrid work policies created difficulties for employees. This suggests an environment where employees protect themselves from internal politics rather than feeling safe to take risks —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in its service territories, Xcel faces limited direct competition. No evidence was found of management framing competitive dynamics in terms of self-improvement or learning from rivals' strengths. The company's competitive language, where it exists, focuses on regulatory positioning and rate case outcomes rather than organizational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Xcel is executing a meaningful transition from a fossil-fuel-heavy generation portfolio to a predominantly renewable one, with coal plant retirements and significant wind and solar capacity additions [3]. This shift requires real strategic commitment and capital reallocation. However, the transition is industry-wide and driven by regulatory mandates and economics rather than a voluntary strategic pivot that distinguished Xcel from peers — nearly every utility is making this shift to varying degrees.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Xcel's early commitment to 100% carbon-free electricity by 2050, announced before most utility peers, required long-term investment commitment in renewables and grid modernization at a time when natural gas and coal were still economically dominant [3]. The company has maintained this commitment through political headwinds. However, as a regulated utility, the cost of these investments is largely borne by ratepayers through approved rate cases, limiting the true financial courage required compared to unregulated companies making similar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Xcel Energy at $76.68 offers a reliable regulated utility with a 3.1% dividend yield, 21 consecutive years of dividend growth, and a favorable Forward P/E of 16.9x reflecting reasonable valuation for the sector [1]. Q2 2026 EPS surged 24% YoY to $0.93, management reaffirmed full-year guidance of $4.04-$4.16, and the long-term growth outlook of 6-8%+ EPS CAGR through 2030 is supported by rate-base expansion, data center demand tailwinds, and clean energy capital investment [1]. The balance sheet carries $41.7B in debt against $2.0B cash, but this leverage is standard for regulated utilities earning regulated returns on invested capital. Operating cash flow of $4.8B funds ongoing infrastructure investment while supporting the $2.37 annual dividend.</w:t>
      </w:r>
    </w:p>
    <w:p>
      <w:pPr>
        <w:spacing w:after="120"/>
      </w:pPr>
      <w:r>
        <w:rPr>
          <w:rFonts w:ascii="Calibri" w:hAnsi="Calibri"/>
          <w:b w:val="0"/>
          <w:color w:val="3A4A28"/>
          <w:sz w:val="20"/>
        </w:rPr>
        <w:t>The bear case centers on execution risk and modest growth. Revenue declined 5.1% YoY in Q2 2026, and the 5-year revenue CAGR of approximately 2% reflects the sluggish top-line growth inherent to regulated utilities [1]. The 63.7% payout ratio provides less cushion than ideal, and total debt of $41.7B represents significant balance sheet risk in a rising-rate environment. Employee culture is a tangible concern — bottom-25% leadership ratings on Comparably suggest organizational dysfunction that could impair execution on the ambitious clean energy transition [2]. The wildfire liability risk in Colorado, combined with unverified allegations of deferred safety maintenance from advocacy groups, represents a tail risk that proved devastating for California utilities like PG&amp;E [3]. At 21x trailing earnings, XEL offers limited margin of safety if rate case outcomes disappoint or data center demand materializes more slowly than projected.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demand driving load growth — weather-normalized retail electric sales projected to increase ~3% in 2026 as hyperscale facilities require enormous baseload power in Xcel's Colorado and Minnesota service territories, supporting accelerated rate-base investment [1]</w:t>
      </w:r>
    </w:p>
    <w:p>
      <w:pPr>
        <w:spacing w:before="40" w:after="40"/>
        <w:ind w:left="283"/>
      </w:pPr>
      <w:r>
        <w:rPr>
          <w:rFonts w:ascii="Calibri" w:hAnsi="Calibri"/>
          <w:b/>
          <w:color w:val="4A6B25"/>
          <w:sz w:val="20"/>
        </w:rPr>
        <w:t xml:space="preserve">2. </w:t>
      </w:r>
      <w:r>
        <w:rPr>
          <w:rFonts w:ascii="Calibri" w:hAnsi="Calibri"/>
          <w:b w:val="0"/>
          <w:color w:val="3A4A28"/>
          <w:sz w:val="20"/>
        </w:rPr>
        <w:t>Long-term EPS growth guidance of 6-8%+ through 2030 supported by approved rate cases, grid modernization investment, and clean energy capital deployment that earns regulated returns on expanding rate base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track record of 21 consecutive annual increases with a 5.3% five-year CAGR, providing inflation-beating income growth for dividend-focused portfolios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Wildfire liability exposure in Colorado and potential regulatory clawbacks if safety investments are deemed inadequate — PG&amp;E's bankruptcy demonstrated the catastrophic tail risk utilities face from wildfire liability [3]</w:t>
      </w:r>
    </w:p>
    <w:p>
      <w:pPr>
        <w:spacing w:before="40" w:after="40"/>
        <w:ind w:left="283"/>
      </w:pPr>
      <w:r>
        <w:rPr>
          <w:rFonts w:ascii="Calibri" w:hAnsi="Calibri"/>
          <w:b/>
          <w:color w:val="4A6B25"/>
          <w:sz w:val="20"/>
        </w:rPr>
        <w:t xml:space="preserve">2. </w:t>
      </w:r>
      <w:r>
        <w:rPr>
          <w:rFonts w:ascii="Calibri" w:hAnsi="Calibri"/>
          <w:b w:val="0"/>
          <w:color w:val="3A4A28"/>
          <w:sz w:val="20"/>
        </w:rPr>
        <w:t>Total debt of $41.7B creates significant interest rate sensitivity; rising rates would pressure both debt service costs and the relative attractiveness of the 3.1% dividend yield versus risk-free alternatives [1]</w:t>
      </w:r>
    </w:p>
    <w:p>
      <w:pPr>
        <w:spacing w:before="40" w:after="40"/>
        <w:ind w:left="283"/>
      </w:pPr>
      <w:r>
        <w:rPr>
          <w:rFonts w:ascii="Calibri" w:hAnsi="Calibri"/>
          <w:b/>
          <w:color w:val="4A6B25"/>
          <w:sz w:val="20"/>
        </w:rPr>
        <w:t xml:space="preserve">3. </w:t>
      </w:r>
      <w:r>
        <w:rPr>
          <w:rFonts w:ascii="Calibri" w:hAnsi="Calibri"/>
          <w:b w:val="0"/>
          <w:color w:val="3A4A28"/>
          <w:sz w:val="20"/>
        </w:rPr>
        <w:t>Poor employee culture (bottom-25% leadership ratings) risks execution failure on the complex clean energy transition and grid modernization program requiring sustained operational excellence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Xcel's regulated utility operations are structurally immune to AI displacement — electricity generation, transmission, and distribution are physical-world infrastructure that no software can substitute [1]. More importantly, AI is a direct demand catalyst: hyperscale data centers require enormous baseload power, and Xcel's service territories in Colorado and Minnesota are attracting data center development, with weather-normalized retail electric sales projected to rise ~3% in 2026 partly driven by this demand [1]. The regulated rate-of-return model means Xcel earns on the capital invested to serve this new load. The only structural limitation is that regulated utilities capture demand upside through rate cases rather than market pricing, capping the revenue acceleration. AI Opportunity (0/1): Xcel does not generate any direct revenue from AI products or services; the AI demand benefit flows through traditional regulated rate-base growth rather than a distinct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Xcel Energy Q2 FY2026 Earnings Release and 10-Q — EPS $0.93 (+24% YoY), Revenue ~$3.12B, Full-Year Guidance $4.04-$4.16, SEC Filing July 2026</w:t>
      </w:r>
    </w:p>
    <w:p>
      <w:pPr>
        <w:spacing w:before="20" w:after="20"/>
        <w:ind w:left="170"/>
      </w:pPr>
      <w:r>
        <w:rPr>
          <w:rFonts w:ascii="Calibri" w:hAnsi="Calibri"/>
          <w:b/>
          <w:color w:val="4A6B25"/>
          <w:sz w:val="15"/>
        </w:rPr>
        <w:t xml:space="preserve">2. </w:t>
      </w:r>
      <w:r>
        <w:rPr>
          <w:rFonts w:ascii="Calibri" w:hAnsi="Calibri"/>
          <w:b w:val="0"/>
          <w:color w:val="3A4A28"/>
          <w:sz w:val="17"/>
        </w:rPr>
        <w:t>Xcel Energy Leadership and Culture — CEO Frenzel transition, Comparably D+ leadership rating, Glassdoor employee reviews, Comparably and Power Engineering, 2024-2026</w:t>
      </w:r>
    </w:p>
    <w:p>
      <w:pPr>
        <w:spacing w:before="20" w:after="20"/>
        <w:ind w:left="170"/>
      </w:pPr>
      <w:r>
        <w:rPr>
          <w:rFonts w:ascii="Calibri" w:hAnsi="Calibri"/>
          <w:b/>
          <w:color w:val="4A6B25"/>
          <w:sz w:val="15"/>
        </w:rPr>
        <w:t xml:space="preserve">3. </w:t>
      </w:r>
      <w:r>
        <w:rPr>
          <w:rFonts w:ascii="Calibri" w:hAnsi="Calibri"/>
          <w:b w:val="0"/>
          <w:color w:val="3A4A28"/>
          <w:sz w:val="17"/>
        </w:rPr>
        <w:t>Xcel Energy ESG and Clean Energy — First utility to commit 100% carbon-free by 2050, community solar programs, advocacy group allegations, Sustainalytics rating, 2018-2026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