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XERS</w:t>
      </w:r>
      <w:r>
        <w:rPr>
          <w:rFonts w:ascii="Calibri" w:hAnsi="Calibri"/>
          <w:b/>
          <w:color w:val="1A2010"/>
          <w:sz w:val="40"/>
        </w:rPr>
        <w:t xml:space="preserve">  Xeris Biopharma Holdings, Inc.</w:t>
      </w:r>
    </w:p>
    <w:p>
      <w:pPr>
        <w:spacing w:after="120"/>
      </w:pPr>
      <w:r>
        <w:rPr>
          <w:rFonts w:ascii="Calibri" w:hAnsi="Calibri"/>
          <w:b/>
          <w:color w:val="6E8450"/>
          <w:sz w:val="18"/>
        </w:rPr>
        <w:t>GROWTH SLEEVE · 2026-09-13 · Inspire: 37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Xeris Biopharma Holdings is a Chicago-based specialty pharmaceutical company focused on endocrinology, diabetes, and select rare diseases. The company commercializes three FDA-approved products — Recorlev (endogenous Cushing's syndrome), Gvoke (ready-to-use liquid glucagon for severe hypoglycemia), and Keveyis (primary periodic paralysis) — built on its proprietary XeriSol and XeriJect ready-to-use injectable formulation platforms. Q2 FY2026 total revenue exceeded $92M (+34% YoY) with Recorlev revenue of ~$57M (+81% YoY), and full-year 2026 guidance was tightened to $385-390M.</w:t>
      </w:r>
    </w:p>
    <w:p>
      <w:r>
        <w:rPr>
          <w:rFonts w:ascii="Calibri" w:hAnsi="Calibri"/>
          <w:b/>
          <w:color w:val="6E8450"/>
          <w:sz w:val="18"/>
        </w:rPr>
        <w:t>450 Employees · https://www.xerispharma.com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Recorlev has driven a transformative commercial inflection — Q2 FY2026 net revenue reached ~$57M (+81% YoY) and total product revenue exceeded $91M (+34% YoY), building on Q1's swing from a $9.2M net loss to $2.2M net income with 87% gross margins [1][2]. This represents one significant launch that opened a durable new revenue stream, though the company remains fundamentally a single-catalyst story. AI Deployment (0/2): No evidence of AI-powered drug discovery, manufacturing optimization, or commercial deployment at Xeris. Market Share (1/2): Recorlev and Gvoke are meaningful players in narrow niches (Cushing's syndrome, glucagon rescue) but face direct competition from Recordati's Isturisa and Corcept's Korlym in Cushing's, and Eli Lilly's Baqsimi nasal glucagon — no dominant share data was identified [3]. Product Pipeline (2/2): XP-8121, a once-weekly subcutaneous hypothyroidism injection built on the XeriSol platform, is Phase 3-ready with management-cited peak sales potential of $1-3B, and Phase 3 initiation is targeted for 2026 [1]. R&amp;D Intensity (0/1): No R&amp;D-as-%-of-revenue disclosure relative to biopharma peers was found in available sources.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Xeris's stated purpose — 'setting new standards to improve lives through the development and commercialization of innovative therapeutics' — is clear and product-relevant but reads as standard specialty-pharma language interchangeable with peers, lacking a distinctive vision of a future state that does not yet exist [3]. Community Impact (0/2): No evidence of a charitable foundation, patient-assistance programs with disclosed dollar amounts, or community investment was found. Employee Retention (0/2): No tenure, voluntary-turnover, or employee-sentiment data is publicly available; Glassdoor ratings of 3.6/5 from 44 reviews with mixed cultural commentary suggest average-at-best retention dynamics [4]. Insider Buying (0/2): Recent Form 4 filings show net insider selling by multiple executives in 2026 with zero offsetting purchases, signaling limited near-term conviction from leadership [2].</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(ROE unavailable, excluded). D/E of 16.1% is well below the 70% target (score 1.0), reflecting dramatic balance sheet improvement after retiring convertible notes and equity turning positive [1]. Revenue growth is exceptional — ~36% TTM YoY and ~48% 5-year CAGR, both saturating their targets at 1.0 (CAGR at 2x weight). Forward P/E of 21.5 is near the 20x target (score 0.96), a dramatic improvement from ~72x earlier in 2026 as analyst EPS estimates were revised sharply higher following consecutive quarters of profitability [5]. Forward PEG of 0.86 is below the 1.0 target (score 1.0, 2x weight), reflecting attractive growth-adjusted valuation. Profit margin of ~3% is the primary drag — a major improvement from -27% in FY2024 and breakeven in FY2025 but still far below the 20% target (score 0.15). Liquidity clears easily: $8.42 × ~2.3M avg daily volume = ~$19.4M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Xeris shows a genuine, product-consistent purpose around underserved rare-endocrine patients and has made a real strategic bet on its XeriSol platform beyond its first approved drug, but as a young, single-catalyst company with recent net insider selling and limited culture/community data, it has not yet been tested through a full market cycle the way Sinek's exemplar companies have.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The mission to serve rare and underserved endocrine patient populations through ready-to-use injectable formulations connects three approved products (Recorlev, Gvoke, Keveyis) and the pipeline (XP-8121) to a consistent thesis, and management frames 2026 as a 'pivotal year' for extending that platform [1][3]. However, the company is too young at commercial scale (largely since 2019) to show the purpose surviving a full leadership transition or market crisis cycle.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No major layoffs, restructurings, or culture red flags were identified, and CEO John Shannon has been in executive roles since 2017 (recently also named Board Chair), providing leadership stability [3]. Glassdoor reviews (3.6/5, 44 reviews) show mixed sentiment with some employees citing a shift from startup to 'extremely corporate' culture [4]. No specific tenure or turnover data supports a higher score.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Available management commentary discusses competitive dynamics in Cushing's syndrome and glucagon rescue in operational terms — payer access, patent defense lawsuits — but no evidence was found of language framing competitors as sources of self-improvement rather than threats to be litigated against [1][3].</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Xeris evolved from a single glucagon-rescue product (Gvoke) into a three-product portfolio spanning Cushing's syndrome and periodic paralysis, and is now extending its XeriSol platform into hypothyroidism (XP-8121) with $1-3B peak sales potential — real diversification, but incremental expansion of an existing formulation platform rather than a transformative business model pivot [1][3].</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Management invested in Phase 3 readiness for XP-8121 while simultaneously retiring ~$23M of convertible notes to strengthen the balance sheet, and is litigating to defend Recorlev's patent exclusivity rather than accepting generic erosion — one clear example of prioritizing long-term capability [1][2]. But no track record yet of costlier multi-cycle bets that Sinek would cite as pattern-of-courage evidence.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Xeris Biopharma has accelerated through its commercial inflection: Q2 FY2026 total revenue exceeded $92M (+34% YoY) with Recorlev at ~$57M (+81% YoY), and full-year guidance was tightened to $385-390M representing &gt;30% growth at the midpoint [1][2]. The balance sheet is dramatically improved with D/E at just 16% after retiring convertible notes, and the company has sustained profitability across multiple quarters with 87% gross margins [1]. Forward P/E has compressed from ~72x to ~21x as analyst EPS estimates were revised sharply higher, and forward PEG of 0.86x suggests the stock remains attractively valued relative to its growth rate [5]. The pipeline is not a one-drug story — XP-8121, a once-weekly hypothyroidism injection on the same XeriSol platform, targets a $1-3B peak sales opportunity with Phase 3 initiation in 2026 [1].</w:t>
      </w:r>
    </w:p>
    <w:p>
      <w:pPr>
        <w:spacing w:after="120"/>
      </w:pPr>
      <w:r>
        <w:rPr>
          <w:rFonts w:ascii="Calibri" w:hAnsi="Calibri"/>
          <w:b w:val="0"/>
          <w:color w:val="3A4A28"/>
          <w:sz w:val="20"/>
        </w:rPr>
        <w:t>The bear case centers on execution concentration and evidence gaps: despite improving fundamentals, Recorlev accounts for ~62% of product revenue and XP-8121 remains pre-Phase 3, making this still a binary-ish bet on two products in narrow patient populations [1][2]. Profit margin of ~3% means the company is barely profitable on a net basis despite 30%+ topline growth, and any Recorlev growth deceleration or XP-8121 clinical setback would challenge the current valuation. Recent insider selling by multiple executives with no offsetting purchases is a yellow flag on leadership conviction [2]. No public data exists on employee retention, community investment, or R&amp;D intensity, leaving Inspiration and Innovation scores conservatively bounded. Glassdoor reviews (3.6/5) with cultural concerns about a startup-to-corporate transition suggest the organization is still finding its identity as it scales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XP-8121 Phase 3 initiation in 2026 for hypothyroidism — a $1-3B peak sales opportunity that would diversify revenue beyond the Recorlev-dependent portfolio</w:t>
      </w:r>
    </w:p>
    <w:p>
      <w:pPr>
        <w:spacing w:before="40" w:after="40"/>
        <w:ind w:left="283"/>
      </w:pPr>
      <w:r>
        <w:rPr>
          <w:rFonts w:ascii="Calibri" w:hAnsi="Calibri"/>
          <w:b/>
          <w:color w:val="4A6B25"/>
          <w:sz w:val="20"/>
        </w:rPr>
        <w:t xml:space="preserve">2. </w:t>
      </w:r>
      <w:r>
        <w:rPr>
          <w:rFonts w:ascii="Calibri" w:hAnsi="Calibri"/>
          <w:b w:val="0"/>
          <w:color w:val="3A4A28"/>
          <w:sz w:val="20"/>
        </w:rPr>
        <w:t>Continued Recorlev prescriber-base expansion sustaining 30%+ revenue growth toward the $385-390M FY2026 guidance range, with potential for further upward revisions</w:t>
      </w:r>
    </w:p>
    <w:p>
      <w:pPr>
        <w:spacing w:before="40" w:after="40"/>
        <w:ind w:left="283"/>
      </w:pPr>
      <w:r>
        <w:rPr>
          <w:rFonts w:ascii="Calibri" w:hAnsi="Calibri"/>
          <w:b/>
          <w:color w:val="4A6B25"/>
          <w:sz w:val="20"/>
        </w:rPr>
        <w:t xml:space="preserve">3. </w:t>
      </w:r>
      <w:r>
        <w:rPr>
          <w:rFonts w:ascii="Calibri" w:hAnsi="Calibri"/>
          <w:b w:val="0"/>
          <w:color w:val="3A4A28"/>
          <w:sz w:val="20"/>
        </w:rPr>
        <w:t>Favorable resolution of the Recorlev patent infringement lawsuit filed in March 2026, protecting exclusivity and pricing power in Cushing's syndrome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concentration in Recorlev (~62% of product revenue) with XP-8121 still pre-Phase 3 creates outsized dependence on a single drug in a narrow rare-disease indication</w:t>
      </w:r>
    </w:p>
    <w:p>
      <w:pPr>
        <w:spacing w:before="40" w:after="40"/>
        <w:ind w:left="283"/>
      </w:pPr>
      <w:r>
        <w:rPr>
          <w:rFonts w:ascii="Calibri" w:hAnsi="Calibri"/>
          <w:b/>
          <w:color w:val="4A6B25"/>
          <w:sz w:val="20"/>
        </w:rPr>
        <w:t xml:space="preserve">2. </w:t>
      </w:r>
      <w:r>
        <w:rPr>
          <w:rFonts w:ascii="Calibri" w:hAnsi="Calibri"/>
          <w:b w:val="0"/>
          <w:color w:val="3A4A28"/>
          <w:sz w:val="20"/>
        </w:rPr>
        <w:t>Net profit margin of ~3% despite 30%+ revenue growth means the company has minimal earnings cushion — any revenue miss or cost surprise could swing results back to losses</w:t>
      </w:r>
    </w:p>
    <w:p>
      <w:pPr>
        <w:spacing w:before="40" w:after="40"/>
        <w:ind w:left="283"/>
      </w:pPr>
      <w:r>
        <w:rPr>
          <w:rFonts w:ascii="Calibri" w:hAnsi="Calibri"/>
          <w:b/>
          <w:color w:val="4A6B25"/>
          <w:sz w:val="20"/>
        </w:rPr>
        <w:t xml:space="preserve">3. </w:t>
      </w:r>
      <w:r>
        <w:rPr>
          <w:rFonts w:ascii="Calibri" w:hAnsi="Calibri"/>
          <w:b w:val="0"/>
          <w:color w:val="3A4A28"/>
          <w:sz w:val="20"/>
        </w:rPr>
        <w:t>Recent net insider selling across multiple executives with zero offsetting buying signals limited near-term conviction from leadership despite improving fundamentals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Xeris's core business — manufacturing and commercializing FDA-approved injectable drugs under composition-of-matter and formulation patents, sold through payer-negotiated specialty pharmacy channels — is structurally immune to AI substitution [1][3]. No AI tool can replicate regulatory approval, physical drug manufacturing, or patient-specific prescribing relationships. The company filed a Recorlev patent infringement lawsuit in March 2026 against would-be generic entrants, underscoring the durability of the regulatory and IP barriers that protect the franchise [1]. AI Opportunity (0/1): No evidence was found that Xeris deploys AI in drug discovery, manufacturing, or commercial operations.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Xeris Biopharma Q1 and Q2 FY2026 Earnings Releases — Q1 Revenue $83.1M (+38% YoY), Q2 Revenue $92M+ (+34% YoY), Recorlev $57M (+81% YoY), SEC 8-K Filings, May-August 2026</w:t>
      </w:r>
    </w:p>
    <w:p>
      <w:pPr>
        <w:spacing w:before="20" w:after="20"/>
        <w:ind w:left="170"/>
      </w:pPr>
      <w:r>
        <w:rPr>
          <w:rFonts w:ascii="Calibri" w:hAnsi="Calibri"/>
          <w:b/>
          <w:color w:val="4A6B25"/>
          <w:sz w:val="15"/>
        </w:rPr>
        <w:t xml:space="preserve">2. </w:t>
      </w:r>
      <w:r>
        <w:rPr>
          <w:rFonts w:ascii="Calibri" w:hAnsi="Calibri"/>
          <w:b w:val="0"/>
          <w:color w:val="3A4A28"/>
          <w:sz w:val="17"/>
        </w:rPr>
        <w:t>Xeris Biopharma FY2026 Guidance Tightened to $385-390M, XP-8121 Phase 3 Advancement — Yahoo Finance, BioSpace, August 2026</w:t>
      </w:r>
    </w:p>
    <w:p>
      <w:pPr>
        <w:spacing w:before="20" w:after="20"/>
        <w:ind w:left="170"/>
      </w:pPr>
      <w:r>
        <w:rPr>
          <w:rFonts w:ascii="Calibri" w:hAnsi="Calibri"/>
          <w:b/>
          <w:color w:val="4A6B25"/>
          <w:sz w:val="15"/>
        </w:rPr>
        <w:t xml:space="preserve">3. </w:t>
      </w:r>
      <w:r>
        <w:rPr>
          <w:rFonts w:ascii="Calibri" w:hAnsi="Calibri"/>
          <w:b w:val="0"/>
          <w:color w:val="3A4A28"/>
          <w:sz w:val="17"/>
        </w:rPr>
        <w:t>Xeris Biopharma Leadership, Mission, Pipeline — xerispharma.com, About Us and Investor Relations, 2026</w:t>
      </w:r>
    </w:p>
    <w:p>
      <w:pPr>
        <w:spacing w:before="20" w:after="20"/>
        <w:ind w:left="170"/>
      </w:pPr>
      <w:r>
        <w:rPr>
          <w:rFonts w:ascii="Calibri" w:hAnsi="Calibri"/>
          <w:b/>
          <w:color w:val="4A6B25"/>
          <w:sz w:val="15"/>
        </w:rPr>
        <w:t xml:space="preserve">4. </w:t>
      </w:r>
      <w:r>
        <w:rPr>
          <w:rFonts w:ascii="Calibri" w:hAnsi="Calibri"/>
          <w:b w:val="0"/>
          <w:color w:val="3A4A28"/>
          <w:sz w:val="17"/>
        </w:rPr>
        <w:t>Glassdoor Reviews — Xeris Pharmaceuticals, 3.6/5 rating (44 reviews),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Nasdaq, StockAnalysis, DirectorsTalk — XERS Forward P/E 21.45, PEG 0.86, D/E 16.1%, Stock Price $8.42,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