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XOM</w:t>
      </w:r>
      <w:r>
        <w:rPr>
          <w:rFonts w:ascii="Calibri" w:hAnsi="Calibri"/>
          <w:b/>
          <w:color w:val="1A2010"/>
          <w:sz w:val="40"/>
        </w:rPr>
        <w:t xml:space="preserve">  ExxonMobil Holdings Corporation</w:t>
      </w:r>
    </w:p>
    <w:p>
      <w:pPr>
        <w:spacing w:after="120"/>
      </w:pPr>
      <w:r>
        <w:rPr>
          <w:rFonts w:ascii="Calibri" w:hAnsi="Calibri"/>
          <w:b/>
          <w:color w:val="6E8450"/>
          <w:sz w:val="18"/>
        </w:rPr>
        <w:t>DIVIDEND SLEEVE · 2026-10-09 · Inspire: 26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Integrated · NYQ · United States</w:t>
      </w:r>
    </w:p>
    <w:p>
      <w:pPr>
        <w:spacing w:after="80"/>
      </w:pPr>
      <w:r>
        <w:rPr>
          <w:rFonts w:ascii="Calibri" w:hAnsi="Calibri"/>
          <w:b w:val="0"/>
          <w:color w:val="3A4A28"/>
          <w:sz w:val="20"/>
        </w:rPr>
        <w:t>ExxonMobil Holdings Corporation (redomiciled from New Jersey to Texas in July 2026) is the largest Western integrated oil and gas company, operating across Upstream, Energy Products, Chemical Products, and Specialty Products segments with an expanding Low Carbon Solutions business including carbon capture, direct lithium extraction, and data center power generation. Q2 2026 delivered GAAP earnings of $14.5B ($3.48/share), revenue of $116.0B (+44% YoY), operating cash flow of $23.6B, and free cash flow of $17.2B, driven by record Permian production post-Pioneer acquisition and higher commodity prices from Middle East supply disruptions.</w:t>
      </w:r>
    </w:p>
    <w:p>
      <w:r>
        <w:rPr>
          <w:rFonts w:ascii="Calibri" w:hAnsi="Calibri"/>
          <w:b/>
          <w:color w:val="6E8450"/>
          <w:sz w:val="18"/>
        </w:rPr>
        <w:t>57,900 Employees · https://corporate.exxonmobil.com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$60B Pioneer Natural Resources acquisition (closed 2024) dramatically scaled Permian Basin production to record levels, representing the largest oil deal in two decades [1]. ExxonMobil's direct lithium extraction project in Arkansas is one of the first commercial-scale DLE operations in the U.S., opening a genuinely new revenue stream beyond hydrocarbons. However, the core business model remains oil and gas extraction. AI Deployment (1/2): Fortune's inaugural AIQ ranking placed ExxonMobil #7 among Fortune 500 AI adopters, with CEO Woods targeting $15B in cumulative structural cost savings by 2027 leveraging AI and process automation across seismic imaging, subsurface modeling, and reservoir management [2]. Specific savings are quantified as a target, though actual dollar figures from AI specifically are not isolated. Market Share (2/2): ExxonMobil is the largest Western oil company by market cap (~$693B) with dominant Permian Basin production post-Pioneer, leading Guyana operations (highest production in over two decades), and a top-tier U.S. refining position [1]. Product Pipeline (2/2): Fifth Guyana FPSO starting Q4 2026, gas-fired power plants for AI data centers in Louisiana and Mississippi with FID expected 2027, and Proxxima resin systems provide named, dated projects with clear revenue visibility [1][2]. R&amp;D Intensity (0/1): Oil majors typically spend well below 1% of revenue on R&amp;D relative to technology-intensive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ExxonMobil's public messaging around providing 'affordable, reliable energy' is generic and interchangeable with any energy major's marketing. The company's litigation posture undercuts a genuine service-oriented cause — XOM sued activist shareholders Arjuna Capital and Follow This to block climate-related proxy proposals, and separately sued California over climate disclosure laws [3]. Community Impact (1/2): General corporate philanthropy exists, but no distinctive, dollar-quantified community investment program was identified in research that differentiates XOM from peer oil majors. Employee Retention (0/2): CFO Kathy Mikelis acknowledged the company has been 'historically siloed' and 'not always the easiest company to do business with' regarding internal processes, suggesting organizational friction [2]. No specific tenure or voluntary turnover data available. Insider Buying (0/2): No evidence of meaningful net insider buying by CEO Darren Woods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given XOM's 43-year dividend growth streak and 2.45% yield. D/E of 15.9% is excellent and far below the 70% target (score 1.0), with net debt-to-capital improving to 11% after Q2 2026 [1]. ROE of 12.6% trails the 15% target (score 0.84), reflecting the capital intensity of integrated oil and gas. Revenue growth of 44.1% YoY far exceeds the 10% target (score 1.0), driven by Q2's $116B revenue quarter, while the 5-year revenue CAGR of approximately 8% is below the 10% target (score 0.87). Forward P/E of 14.8 is well below the 20 target (score 1.0). Profit margin of 9.1% falls well short of 20% (score 0.45). Payout ratio of 52.5% is above the 40% target (score 0.79). The 43 consecutive years of dividend payment and growth each clear targets (score 1.0 at 2x and 1x weight respectively). The 5-year dividend growth CAGR of approximately 3.4% falls short of the 6% target (score 0.57, 2x weight). Daily dollar volume of $2.35B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ExxonMobil exhibits finite-game characteristics in Sinek's framework: a generic purpose statement around energy provision, an aggressive legal posture toward climate-focused shareholder activists and state regulators, and an acknowledged internally siloed organizational culture. Multi-decade capital commitments ($60B Pioneer, Guyana development, data center power) demonstrate long investment horizons, but these are financially disciplined capital allocation plays rather than evidence of a Just Cause tested through crisis. The company exists to extract and sell hydrocarbons profitably — a legitimate business, but not an infinite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ExxonMobil's purpose language around energy security and reliability is standard industry marketing rather than a distinctive, service-oriented cause [3]. The decision to sue shareholder activists (Arjuna Capital, Follow This) to block climate proposals and to sue California over emissions disclosure laws signals strategic decisions oriented toward defending the existing business model rather than advancing a larger cause. A $2.5 trillion investor coalition (CURE) urged Paris-aligned transition planning, which XOM has not adopted.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CFO Kathy Mikelis acknowledged ExxonMobil has been 'historically siloed' and 'not always the easiest company to do business with when it comes to information technology and self-service,' describing organizational friction that conflicts with Sinek's Circle of Safety ideal [2]. No specific employee retention or tenure data was found to suggest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ExxonMobil framing industry competitors as sources of self-improvement. The company's most visible adversarial posture is directed at shareholder activists, state regulators, and climate disclosure advocates rather than using competitive dynamics for self-improvement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Low Carbon Solutions business — carbon capture, direct lithium extraction in Arkansas, Proxxima resin systems, and planned data center power — represents genuine entry into adjacent markets [1][2]. However, the core oil and gas extraction and refining model remains fundamentally unchanged, and these new ventures represent &lt;5% of revenue, making this incremental diversification rather than a transformative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$60B Pioneer acquisition and continued multi-billion-dollar investment in Guyana (5th FPSO starting Q4 2026), Permian development, direct lithium extraction, and planned data center power plants reflect decades-long capital commitments at massive scale [1][2]. However, these are financially driven scale plays and adjacency expansions rather than principled sacrifices of near-term earnings for a stated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ExxonMobil at $168.50 with a $693B market cap delivered a dominant Q2 2026: $14.5B in GAAP earnings ($3.48/share), $116B revenue (+44% YoY), $23.6B operating cash flow, and $17.2B free cash flow, driven by record Permian production post-Pioneer and higher prices from Middle East supply disruptions [1]. At 14.8x forward earnings with just 15.9% D/E and a 2.45% dividend yield backed by 43 consecutive years of dividend growth, XOM offers compelling value among integrated energy majors. The balance sheet is exceptionally strong — net debt-to-capital fell to 11% — supporting $20B in planned 2026 buybacks alongside $27-29B in capex and a $4.12 annual dividend. Growth vectors include the 5th Guyana FPSO starting Q4 2026, data center power plants planned for Louisiana and Mississippi, direct lithium extraction, and $15B in targeted AI-driven structural cost savings by 2027 [1][2]. The Inspire Impact Score of 26 (ALIGNED) with no negative attributions is favorable for faith-based investors.</w:t>
      </w:r>
    </w:p>
    <w:p>
      <w:pPr>
        <w:spacing w:after="120"/>
      </w:pPr>
      <w:r>
        <w:rPr>
          <w:rFonts w:ascii="Calibri" w:hAnsi="Calibri"/>
          <w:b w:val="0"/>
          <w:color w:val="3A4A28"/>
          <w:sz w:val="20"/>
        </w:rPr>
        <w:t>The bear case centers on commodity cyclicality, governance friction, and slow dividend growth. Q2's $116B revenue quarter was inflated by Middle East supply disruptions and volatile commodity prices — TTM profit margin of 9.1% and ROE of 12.6% both trail IOWN Infrastructure targets, reflecting the capital intensity and cyclicality inherent to integrated oil and gas [1]. The 5-year dividend growth CAGR of 3.4% is well below the 6% IOWN target and XOM's own 43-year historical average of ~5.8%, suggesting management is prioritizing balance sheet strength and buybacks over payout acceleration. On the Return on Intention lens, XOM scores poorly: litigation against climate-focused shareholders (Arjuna Capital, Follow This) and against California's climate disclosure laws signals a defensive, finite-game posture, and a $2.5 trillion investor coalition (CURE) has publicly urged Paris-aligned transition planning that XOM has not adopted [3]. The CFO's acknowledgment of a 'historically siloed' organization suggests internal cultural challenges. Long-term energy transition risk — potentially accelerated by AI-driven efficiency gains — remains the existential question for any hydrocarbon-dependent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Fifth Guyana FPSO starting Q4 2026 adds meaningful new production capacity, with Guyana free cash flow projected to double by 2030 versus 2025, supporting continued earnings growth and capital returns [1]</w:t>
      </w:r>
    </w:p>
    <w:p>
      <w:pPr>
        <w:spacing w:before="40" w:after="40"/>
        <w:ind w:left="283"/>
      </w:pPr>
      <w:r>
        <w:rPr>
          <w:rFonts w:ascii="Calibri" w:hAnsi="Calibri"/>
          <w:b/>
          <w:color w:val="4A6B25"/>
          <w:sz w:val="20"/>
        </w:rPr>
        <w:t xml:space="preserve">2. </w:t>
      </w:r>
      <w:r>
        <w:rPr>
          <w:rFonts w:ascii="Calibri" w:hAnsi="Calibri"/>
          <w:b w:val="0"/>
          <w:color w:val="3A4A28"/>
          <w:sz w:val="20"/>
        </w:rPr>
        <w:t>Planned gas-fired data center power plants in Louisiana and Mississippi with CO2 capture capability and FID expected 2027, positioning XOM to capture AI-driven electricity demand growth [2]</w:t>
      </w:r>
    </w:p>
    <w:p>
      <w:pPr>
        <w:spacing w:before="40" w:after="40"/>
        <w:ind w:left="283"/>
      </w:pPr>
      <w:r>
        <w:rPr>
          <w:rFonts w:ascii="Calibri" w:hAnsi="Calibri"/>
          <w:b/>
          <w:color w:val="4A6B25"/>
          <w:sz w:val="20"/>
        </w:rPr>
        <w:t xml:space="preserve">3. </w:t>
      </w:r>
      <w:r>
        <w:rPr>
          <w:rFonts w:ascii="Calibri" w:hAnsi="Calibri"/>
          <w:b w:val="0"/>
          <w:color w:val="3A4A28"/>
          <w:sz w:val="20"/>
        </w:rPr>
        <w:t>$20B planned 2026 share buybacks alongside 43-year consecutive dividend growth streak provides reliable capital returns, with net debt-to-capital at 11% providing capacity for increased distributions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cyclicality remains the dominant swing factor — Q2 2026 revenue was inflated by Middle East disruptions, and a sustained oil price decline would compress the already-modest 9.1% profit margin and could slow dividend growth further below the 3.4% 5yr CAGR [1]</w:t>
      </w:r>
    </w:p>
    <w:p>
      <w:pPr>
        <w:spacing w:before="40" w:after="40"/>
        <w:ind w:left="283"/>
      </w:pPr>
      <w:r>
        <w:rPr>
          <w:rFonts w:ascii="Calibri" w:hAnsi="Calibri"/>
          <w:b/>
          <w:color w:val="4A6B25"/>
          <w:sz w:val="20"/>
        </w:rPr>
        <w:t xml:space="preserve">2. </w:t>
      </w:r>
      <w:r>
        <w:rPr>
          <w:rFonts w:ascii="Calibri" w:hAnsi="Calibri"/>
          <w:b w:val="0"/>
          <w:color w:val="3A4A28"/>
          <w:sz w:val="20"/>
        </w:rPr>
        <w:t>Governance and reputational overhang from litigation against climate shareholders (Arjuna Capital, Follow This), suits against California climate disclosure laws, and a $2.5T investor coalition publicly pressing for Paris-aligned transition planning [3]</w:t>
      </w:r>
    </w:p>
    <w:p>
      <w:pPr>
        <w:spacing w:before="40" w:after="40"/>
        <w:ind w:left="283"/>
      </w:pPr>
      <w:r>
        <w:rPr>
          <w:rFonts w:ascii="Calibri" w:hAnsi="Calibri"/>
          <w:b/>
          <w:color w:val="4A6B25"/>
          <w:sz w:val="20"/>
        </w:rPr>
        <w:t xml:space="preserve">3. </w:t>
      </w:r>
      <w:r>
        <w:rPr>
          <w:rFonts w:ascii="Calibri" w:hAnsi="Calibri"/>
          <w:b w:val="0"/>
          <w:color w:val="3A4A28"/>
          <w:sz w:val="20"/>
        </w:rPr>
        <w:t>Long-term energy transition risk: Low Carbon Solutions ventures (carbon capture, lithium, data center power) remain &lt;5% of revenue, leaving XOM overwhelmingly dependent on hydrocarbons whose long-term demand trajectory faces structural headwinds from electrification and policy pressure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ExxonMobil's core business — extracting, refining, and distributing physical hydrocarbons — is structurally immune to AI substitution; no AI tool can extract crude oil, run a refinery, or transport LNG [1]. Rising electricity demand from AI data centers is a secular tailwind for natural gas, and XOM is actively positioning to capture this with planned gas-fired power plants in Louisiana and Mississippi designed to supply data centers with CO2 capture capability, with FID expected in 2027 [2]. The company is not fully IMMUNE (9/9) because long-term energy transition away from hydrocarbons is an existential risk that AI-driven efficiency gains could accelerate. AI Opportunity (0/1): While Fortune ranked XOM #7 in AI adoption and the company targets $15B in AI-leveraged cost savings by 2027, no quantified AI-attributable revenue stream has been disclosed; the data center power plants are not yet operational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ExxonMobil Q2 2026 Earnings Release (SEC 8-K) — $14.5B GAAP Earnings, $116.0B Revenue (+44% YoY), $23.6B OCF, $17.2B FCF, Net Debt-to-Capital 11%, July 2026</w:t>
      </w:r>
    </w:p>
    <w:p>
      <w:pPr>
        <w:spacing w:before="20" w:after="20"/>
        <w:ind w:left="170"/>
      </w:pPr>
      <w:r>
        <w:rPr>
          <w:rFonts w:ascii="Calibri" w:hAnsi="Calibri"/>
          <w:b/>
          <w:color w:val="4A6B25"/>
          <w:sz w:val="15"/>
        </w:rPr>
        <w:t xml:space="preserve">2. </w:t>
      </w:r>
      <w:r>
        <w:rPr>
          <w:rFonts w:ascii="Calibri" w:hAnsi="Calibri"/>
          <w:b w:val="0"/>
          <w:color w:val="3A4A28"/>
          <w:sz w:val="17"/>
        </w:rPr>
        <w:t>ExxonMobil AI Strategy, Data Center Power, and Cost Savings — Fortune AIQ #7 Ranking, $15B Savings Target, Gas-Fired Power Plants — Constellation Research, Axios, Houston Innovation Map, 2025-2026</w:t>
      </w:r>
    </w:p>
    <w:p>
      <w:pPr>
        <w:spacing w:before="20" w:after="20"/>
        <w:ind w:left="170"/>
      </w:pPr>
      <w:r>
        <w:rPr>
          <w:rFonts w:ascii="Calibri" w:hAnsi="Calibri"/>
          <w:b/>
          <w:color w:val="4A6B25"/>
          <w:sz w:val="15"/>
        </w:rPr>
        <w:t xml:space="preserve">3. </w:t>
      </w:r>
      <w:r>
        <w:rPr>
          <w:rFonts w:ascii="Calibri" w:hAnsi="Calibri"/>
          <w:b w:val="0"/>
          <w:color w:val="3A4A28"/>
          <w:sz w:val="17"/>
        </w:rPr>
        <w:t>ExxonMobil ESG Litigation and Governance — Arjuna Capital/Follow This Lawsuit, California Climate Disclosure Suit, CURE Investor Coalition — ESG Today, Energy Intel, TipRanks,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