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YMM</w:t>
      </w:r>
      <w:r>
        <w:rPr>
          <w:rFonts w:ascii="Calibri" w:hAnsi="Calibri"/>
          <w:b/>
          <w:color w:val="1A2010"/>
          <w:sz w:val="40"/>
        </w:rPr>
        <w:t xml:space="preserve">  Full Truck Alliance Co. Ltd.</w:t>
      </w:r>
    </w:p>
    <w:p>
      <w:pPr>
        <w:spacing w:after="120"/>
      </w:pPr>
      <w:r>
        <w:rPr>
          <w:rFonts w:ascii="Calibri" w:hAnsi="Calibri"/>
          <w:b/>
          <w:color w:val="6E8450"/>
          <w:sz w:val="18"/>
        </w:rPr>
        <w:t>GROWTH SLEEVE · 2026-10-15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China</w:t>
      </w:r>
    </w:p>
    <w:p>
      <w:pPr>
        <w:spacing w:after="80"/>
      </w:pPr>
      <w:r>
        <w:rPr>
          <w:rFonts w:ascii="Calibri" w:hAnsi="Calibri"/>
          <w:b w:val="0"/>
          <w:color w:val="3A4A28"/>
          <w:sz w:val="20"/>
        </w:rPr>
        <w:t>Full Truck Alliance (FTA) operates China's dominant digital freight platform, connecting over 14 million verified truckers with more than 5 million shippers through its Yunmanman and Huochebang applications. Revenue comes from transaction services (52% of Q2 2026 revenue, +33.1% YoY), freight brokerage, and value-added services including fuel cards (Sinopec partnership) and financial products. Q2 2026 total net revenue was RMB 3.38B (+4.4% YoY) with net income of RMB 1.35B (+6.3% YoY) and operating income up 30.4% to RMB 1.49B. Full-year 2025 revenue reached RMB 12.49B (+11.1% YoY) with net income of RMB 4.46B (+42.8% YoY). The company holds RMB 33.4B in cash with zero debt.</w:t>
      </w:r>
    </w:p>
    <w:p>
      <w:r>
        <w:rPr>
          <w:rFonts w:ascii="Calibri" w:hAnsi="Calibri"/>
          <w:b/>
          <w:color w:val="6E8450"/>
          <w:sz w:val="18"/>
        </w:rPr>
        <w:t>8,251 Employees · https://www.fulltruckalliance.com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FTA has successfully transformed China's fragmented trucking market through digital freight matching, evolving from basic load-posting to a full transaction platform with transaction service revenue surging 33.1% YoY to RMB 1.77B in Q2 2026, now comprising 52% of total revenue — a significant business model transformation from the membership-fee model [1][2]. The Giga AI acquisition extended the platform into autonomous trucking, with AI-powered heavy truck feed operating commercially in express delivery and fast freight. AI Deployment (1/2): FTA deploys AI across its platform — a shipper AI assistant for automated shipment posting, AI-powered matching algorithms optimizing 68.5M fulfilled orders per quarter (+12.7% YoY), and AI-driven customer service tools [2]. The company won the International Logistics Association 'Best Business Innovation Award,' but specific quantified AI revenue or cost savings are not disclosed. Market Share (2/2): FTA is the undisputed category leader in Chinese digital freight with no comparable competitor at scale, processing 68.5M fulfilled orders in Q2 2026 with 3.57M shipper MAUs (+12.8% YoY), creating an unassailable network effect moat [1]. Product Pipeline (1/2): Giga AI autonomous trucking is operating commercially and expanding, the dual-track asset-light brokerage model is under development, and continued AI tool expansion provides revenue diversification, though specific product launch dates and revenue targets remain vague [2]. R&amp;D Intensity (1/1): FTA invests heavily in technology — AI matching, platform governance, and logistics optimization — with R&amp;D spending above industry averages for logistics platform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FTA's purpose — making logistics simpler and more efficient — clearly identifies what the company does and for whom, and the platform genuinely reduces waste (149M tons of CO2 avoided since 2020 through reduced empty hauling) and improves trucker livelihoods through better matching [4]. However, the mission reads as a business description rather than a deeply inspiring purpose statement, lacking the idealistic dimension that would differentiate it from any logistics technology peer. Community Impact (1/2): FTA's ESG reports document 149M tons of CO2 emissions avoided since 2020 by reducing empty truck hauls through smarter matching, and the platform serves millions of individual owner-operator truckers in China's informal economy, providing more consistent income [4]. Complaint resolution reached 100% with 91.21% post-complaint satisfaction. However, no distinctive foundation or quantified charitable programs beyond the platform's core business function. Employee Retention (0/2): No specific employee retention, voluntary turnover, or average tenure data available. The company has 8,251 employees, but no evidence of exceptional retention or organizational culture. Insider Buying (0/2): No evidence of meaningful insider buying by CEO Hui Zhang or other executives. As a Chinese ADR, insider transaction data is limited and difficult to verify through public sources.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FTA's balance sheet is exceptionally clean with D/E near 0%, scoring a perfect 1.0 against the 70% target, reflecting a platform business with zero debt and RMB 33.4B in cash [3]. Forward P/E of 9.8 is deeply discounted versus the 20 target (score 1.0), and PEG of 0.66 is well below the 1.0 target (score 1.0, 2x weight), indicating exceptional value relative to growth. Profit margin of 33.0% far exceeds the 20% target (score 1.0), demonstrating asset-light platform economics. The 5-year revenue CAGR of approximately 20% exceeds the 10% target (score 1.0, 2x weight), driven by rapid post-IPO platform scaling. ROE of 10.4% is below the 15% target (score 0.69, 2x weight), the primary drag, reflecting large cash balances diluting returns on equity. Revenue growth YoY of 4.4% is below the 10% target (score 0.81), as top-line decelerates amid China's economic slowdown [1][2]. Daily dollar volume of approximately $58M provides ample liquidity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Full Truck Alliance operates with a largely finite mindset typical of Chinese tech platforms, focused on market dominance and operational efficiency rather than an enduring purpose beyond profit. The company has shown meaningful business model flexibility in shifting from brokerage to transaction services and navigated the 2021 cybersecurity review, but CEO Hui Zhang's commentary centers on 'high-quality growth' and 'shareholder value' — language oriented toward financial outcomes rather than the kind of enduring purpose Sinek values. No evidence of costly, cause-driven decisions that define infinite game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FTA's purpose around making freight 'simpler and more efficient' exists but is shallow in Sinek's framework — it describes the business rather than articulating a vision of a better future worth sacrificing to achieve [2]. The environmental impact (149M tons CO2 avoided) is a byproduct of efficiency, not a stated cause. CEO Zhang's public statements center on 'high-quality growth' and 'shareholder value creation' rather than a cause that transcends the company. The purpose is interchangeable with any logistics technology competitor.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FTA maintains a stable organization with 8,251 employees and no evidence of major cultural disruptions, mass layoffs, or organizational instability [4]. Complaint resolution of 100% with 91.21% post-complaint satisfaction suggests operational discipline. However, Chinese tech companies' organizational cultures are difficult to assess from public data, and no evidence of exceptional trust, empowerment, or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FTA operates as the dominant player in Chinese digital freight with limited direct competition at scale. Management commentary does not reference learning from competitors' strengths or using competitive pressure for self-improvement — the competitive posture is oriented toward maintaining market dominance rather than growth through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FTA has evolved meaningfully from basic load-posting to a comprehensive digital freight ecosystem, with transaction services growing from a minor segment to 52% of Q2 2026 revenue (+33.1% YoY), representing genuine business model evolution [1]. The company navigated the 2021 Chinese cybersecurity review (which suspended new user registration) and emerged stronger, and the Giga AI acquisition represents a forward-looking bet on autonomous trucking. However, these are incremental evolutions rather than transformative pivots — FTA has always been a digital freight platform.</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FTA demonstrated resilience during the 2021 government cybersecurity review, continuing to invest in platform development during months of halted user registration and emerging with stronger governance and a more diversified revenue model [4]. The deliberate shift from higher-take-rate brokerage to lower-take-rate transaction services — accepting short-term revenue headwinds for better long-term platform economics — shows willingness to sacrifice near-term results for strategic positioning [1][2]. However, no evidence of the kind of costly, purpose-driven decisions that define a perfect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FTA at $8.54 with a $8.9B market cap trades at 9.8x forward earnings with a PEG of 0.66 — one of the most attractively valued platform businesses in the global market despite dominant market position and exceptional profitability [1][3]. The company generates 33% profit margins with zero debt and RMB 33.4B in cash, a fortress balance sheet that eliminates financial risk. Transaction services revenue growing 33.1% YoY and now comprising 52% of total revenue demonstrates the platform's successful shift toward higher-value, higher-margin revenue streams. Fulfilled orders (+12.7%) and shipper MAUs (+12.8%) show healthy platform engagement growth, and the Giga AI autonomous trucking acquisition positions FTA at the frontier of logistics AI in China. Full-year 2025 net income surged 42.8% to RMB 4.46B, and operating income grew 30.4% in Q2 2026 even as top-line growth moderated.</w:t>
      </w:r>
    </w:p>
    <w:p>
      <w:pPr>
        <w:spacing w:after="120"/>
      </w:pPr>
      <w:r>
        <w:rPr>
          <w:rFonts w:ascii="Calibri" w:hAnsi="Calibri"/>
          <w:b w:val="0"/>
          <w:color w:val="3A4A28"/>
          <w:sz w:val="20"/>
        </w:rPr>
        <w:t>The bear case centers on China risk and decelerating growth. Revenue growth decelerated from 11.1% in FY2025 to 4.4% in Q2 2026, with Q3 guidance of RMB 3.32-3.42B implying continued low-single-digit growth as China's economic slowdown compresses freight volumes and pricing power [1][2]. ROE of 10.4% is below industry-leading levels, suggesting capital is not deployed efficiently despite large cash balances. The persistent China ADR discount reflects real structural risks — regulatory uncertainty for platform businesses, US-China geopolitical tensions, potential delisting risk, and VIE structure vulnerability [3]. J Capital Research's 2023 short report alleging GTV inflation and questionable cash balances, while unproven, highlights governance transparency concerns inherent in Chinese ADRs. The company is increasingly reliant on transaction services to offset declining freight brokerage — concentration risk if this single growth engine faces headwinds.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Transaction services revenue growing 33.1% YoY with fulfilled orders up 12.7% and shipper MAUs +12.8%, representing a structural shift toward higher-value platform economics that should sustain earnings growth even as headline revenue moderates [1][2]</w:t>
      </w:r>
    </w:p>
    <w:p>
      <w:pPr>
        <w:spacing w:before="40" w:after="40"/>
        <w:ind w:left="283"/>
      </w:pPr>
      <w:r>
        <w:rPr>
          <w:rFonts w:ascii="Calibri" w:hAnsi="Calibri"/>
          <w:b/>
          <w:color w:val="4A6B25"/>
          <w:sz w:val="20"/>
        </w:rPr>
        <w:t xml:space="preserve">2. </w:t>
      </w:r>
      <w:r>
        <w:rPr>
          <w:rFonts w:ascii="Calibri" w:hAnsi="Calibri"/>
          <w:b w:val="0"/>
          <w:color w:val="3A4A28"/>
          <w:sz w:val="20"/>
        </w:rPr>
        <w:t>Extreme valuation discount at 9.8x forward PE and 0.66 PEG — any improvement in US-China sentiment, delisting risk resolution, or China economic recovery could trigger significant multiple expansion toward global platform peer averages</w:t>
      </w:r>
    </w:p>
    <w:p>
      <w:pPr>
        <w:spacing w:before="40" w:after="40"/>
        <w:ind w:left="283"/>
      </w:pPr>
      <w:r>
        <w:rPr>
          <w:rFonts w:ascii="Calibri" w:hAnsi="Calibri"/>
          <w:b/>
          <w:color w:val="4A6B25"/>
          <w:sz w:val="20"/>
        </w:rPr>
        <w:t xml:space="preserve">3. </w:t>
      </w:r>
      <w:r>
        <w:rPr>
          <w:rFonts w:ascii="Calibri" w:hAnsi="Calibri"/>
          <w:b w:val="0"/>
          <w:color w:val="3A4A28"/>
          <w:sz w:val="20"/>
        </w:rPr>
        <w:t>Giga AI autonomous trucking operating commercially in express delivery, leveraging FTA's unmatched 14M+ trucker network and 5M+ shipper base as distribution advantage in China's rapidly growing autonomous freight market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regulatory and geopolitical risk — potential ADR delisting, VIE structure vulnerability, and government intervention risk (as demonstrated by the 2021 cybersecurity review) represent tail risks that are difficult to model or hedge [4]</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to 4.4% YoY with Q3 guidance implying continued low-single-digit growth reflects China's economic slowdown impacting freight volumes, raising questions about whether mix shift alone can sustain earnings trajectory [1][2]</w:t>
      </w:r>
    </w:p>
    <w:p>
      <w:pPr>
        <w:spacing w:before="40" w:after="40"/>
        <w:ind w:left="283"/>
      </w:pPr>
      <w:r>
        <w:rPr>
          <w:rFonts w:ascii="Calibri" w:hAnsi="Calibri"/>
          <w:b/>
          <w:color w:val="4A6B25"/>
          <w:sz w:val="20"/>
        </w:rPr>
        <w:t xml:space="preserve">3. </w:t>
      </w:r>
      <w:r>
        <w:rPr>
          <w:rFonts w:ascii="Calibri" w:hAnsi="Calibri"/>
          <w:b w:val="0"/>
          <w:color w:val="3A4A28"/>
          <w:sz w:val="20"/>
        </w:rPr>
        <w:t>AI agent disruption risk to the platform model — Morgan Stanley analysts have flagged that AI-powered logistics tools could enable direct shipper-trucker matching outside FTA's ecosystem, and Alibaba's Cainiao and JD Logistics have resources to build competing AI platforms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FTA's core business — matching physical-world shippers with physical-world truckers for freight transport — is structurally immune to AI displacement; no amount of AI can replace the need to physically move goods on trucks, and FTA IS the AI layer in Chinese freight rather than the disrupted party [1]. The platform's network effects (3.57M shipper MAUs, 14M+ truckers) create massive switching costs, and Chinese regulatory requirements in logistics and transportation add compliance moats. However, Morgan Stanley analysts have raised concerns that AI agents could disrupt the traditional platform model by enabling direct shipper-trucker matching outside FTA's ecosystem, and competing tech platforms (Alibaba's Cainiao, JD Logistics) have resources to build rival AI matching systems, preventing a perfect protection score [3]. AI Opportunity (1/1): FTA generates all of its revenue through AI-powered technology — matching algorithms, shipper AI assistant, AI-powered customer service, and demand forecasting are core to the platform's value proposition [2]. The Giga AI acquisition for autonomous trucking adds a direct AI revenue stream, and transaction services revenue grew 33.1% YoY driven by AI-improved matching.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Full Truck Alliance Q2 2026 Earnings — Revenue RMB 3.38B (+4.4% YoY), Transaction Services RMB 1.77B (+33.1%), Operating Income RMB 1.49B (+30.4%), Net Income RMB 1.35B (+6.3%), Fulfilled Orders 68.5M (+12.7%) — Webull,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Full Truck Alliance AI Innovation and Platform Strategy — CEO Hui Zhang, Shipper AI Assistant, Giga AI Autonomous Trucking, Best Business Innovation Award (ILA) — Seeking Alpha, Globe and Mail, 2026</w:t>
      </w:r>
    </w:p>
    <w:p>
      <w:pPr>
        <w:spacing w:before="20" w:after="20"/>
        <w:ind w:left="170"/>
      </w:pPr>
      <w:r>
        <w:rPr>
          <w:rFonts w:ascii="Calibri" w:hAnsi="Calibri"/>
          <w:b/>
          <w:color w:val="4A6B25"/>
          <w:sz w:val="15"/>
        </w:rPr>
        <w:t xml:space="preserve">3. </w:t>
      </w:r>
      <w:r>
        <w:rPr>
          <w:rFonts w:ascii="Calibri" w:hAnsi="Calibri"/>
          <w:b w:val="0"/>
          <w:color w:val="3A4A28"/>
          <w:sz w:val="17"/>
        </w:rPr>
        <w:t>Full Truck Alliance FY2025 Results and Q4 2025 Earnings Call — Revenue RMB 12.49B (+11.1% YoY), Net Income RMB 4.46B (+42.8% YoY), Morgan Stanley analyst AI disruption question — Insider Monkey, March 2026</w:t>
      </w:r>
    </w:p>
    <w:p>
      <w:pPr>
        <w:spacing w:before="20" w:after="20"/>
        <w:ind w:left="170"/>
      </w:pPr>
      <w:r>
        <w:rPr>
          <w:rFonts w:ascii="Calibri" w:hAnsi="Calibri"/>
          <w:b/>
          <w:color w:val="4A6B25"/>
          <w:sz w:val="15"/>
        </w:rPr>
        <w:t xml:space="preserve">4. </w:t>
      </w:r>
      <w:r>
        <w:rPr>
          <w:rFonts w:ascii="Calibri" w:hAnsi="Calibri"/>
          <w:b w:val="0"/>
          <w:color w:val="3A4A28"/>
          <w:sz w:val="17"/>
        </w:rPr>
        <w:t>Full Truck Alliance 2024-2025 ESG Reports — 149M Tons CO2 Avoided Since 2020, 100% Complaint Resolution, 8,251 Employees, Sustainability Initiatives — TechNode Global, Market Chameleon,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