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YPF</w:t>
      </w:r>
      <w:r>
        <w:rPr>
          <w:rFonts w:ascii="Calibri" w:hAnsi="Calibri"/>
          <w:b/>
          <w:color w:val="1A2010"/>
          <w:sz w:val="40"/>
        </w:rPr>
        <w:t xml:space="preserve">  YPF Sociedad Anonima</w:t>
      </w:r>
    </w:p>
    <w:p>
      <w:pPr>
        <w:spacing w:after="120"/>
      </w:pPr>
      <w:r>
        <w:rPr>
          <w:rFonts w:ascii="Calibri" w:hAnsi="Calibri"/>
          <w:b/>
          <w:color w:val="6E8450"/>
          <w:sz w:val="18"/>
        </w:rPr>
        <w:t>GROWTH SLEEVE · 2026-09-16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Integrated · NYSE · Argentina</w:t>
      </w:r>
    </w:p>
    <w:p>
      <w:pPr>
        <w:spacing w:after="80"/>
      </w:pPr>
      <w:r>
        <w:rPr>
          <w:rFonts w:ascii="Calibri" w:hAnsi="Calibri"/>
          <w:b w:val="0"/>
          <w:color w:val="3A4A28"/>
          <w:sz w:val="20"/>
        </w:rPr>
        <w:t>YPF is Argentina's largest integrated energy company, operating across upstream oil and gas exploration/production anchored by the Vaca Muerta shale formation, midstream/downstream refining and marketing, LNG development, petrochemicals, and new energies. The Argentine government holds majority ownership (~51%). CEO Horacio Marin has repositioned YPF as a world-class shale operator, with shale oil production at 205,000 bpd in Q1 2026. H1 2026 delivered revenues of $11.52B (+24.6% YoY), net profit of $1.614B, and operating cash flow of $4.237B. Headquartered in Buenos Aires.</w:t>
      </w:r>
    </w:p>
    <w:p>
      <w:r>
        <w:rPr>
          <w:rFonts w:ascii="Calibri" w:hAnsi="Calibri"/>
          <w:b/>
          <w:color w:val="6E8450"/>
          <w:sz w:val="18"/>
        </w:rPr>
        <w:t>21,000 Employees · https://www.ypf.com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YPF has transformed from a conventional Argentine oil producer into a world-class shale operator under CEO Horacio Marin, growing shale oil production 39% YoY to 205,000 bpd in Q1 2026 (now 76% of total production) while cutting lifting costs 42% to $8.8/BOE [1]. H1 2026 delivered $1.614B net profit versus just $48M in H1 2025, validating the operational transformation [1]. AI Deployment (1/2): YPF partnered with Globant (April 2025) to deploy AI Agents for supply chain optimization, and operates a Real Time Intelligence Center managing Vaca Muerta drilling and fracturing remotely from its Madero tower headquarters using advanced data analytics for operational decisions [2]. No specific AI revenue quantified. Market Share (2/2): YPF is the dominant energy producer in Argentina with the largest acreage position in Vaca Muerta — the world's second-largest shale oil and fourth-largest shale gas formation — operating as the largest shale oil producer outside the United States [1]. Product Pipeline (2/2): Specific targets include 215,000 bpd shale oil by year-end 2026 with a December exit rate of 250,000 bpd; VMOS export pipeline (180,000 bpd capacity, expandable to 550,000 bpd) at 62% completion with Phase I targeted January 2027; $5.5-5.8B capex planned for 2026; rig fleet expanding from 12 to 18 company-owned rigs [1]. R&amp;D Intensity (0/1): Y-TEC R&amp;D arm focuses on lithium battery technology and hydrogen energy, but formal R&amp;D spending is not separately disclosed and drilling technology investments are operational rather than pure research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YPF's purpose centers on developing Argentina's energy resources and driving national energy independence — a clear and meaningful mission tied to the country's economic transformation through Vaca Muerta development [2]. However, as a government-controlled entity, the mission is intertwined with political objectives and shifts with administrations rather than representing a purely purpose-driven corporate vision. Community Impact (1/2): YPF is Argentina's largest company and a critical employer, with massive economic impact through energy infrastructure development, tax revenues, and regional employment in Neuquen province. The Y-TEC research arm and sustainable aviation fuel JV show forward-looking commitment, but no distinctive standalone charitable programs with specific dollar amounts identified [3]. Employee Retention (1/2): CEO Marin's leadership philosophy emphasizes replacing fear of failure with long-term objectives, and he describes the Vaca Muerta development as a 'virtuous circle between state, industry, and unions' [2]. The workforce of ~21,000 appears stable. However, no specific turnover or tenure data is publicly available, and government-ownership dynamics shape the employment environment. Insider Buying (1/2): CEO Marin purchased 2,840 shares in July 2026, and VP Upstream Matias Farina bought 4,518 ADS the same day — modest but directionally positive executive conviction [4]. Stanley Druckenmiller increased his stake 433% to 3.2M shares (~$150M) in early 2026, validating the institutional investment case.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Growth stock. H1 2026 showed dramatic improvement: revenues of $11.52B (up 24.6% YoY in USD), net profit of $1.614B (vs $48M in H1 2025), and operating cash flow of $4.237B (vs $1.996B) [1]. Forward P/E of 10.50x is deeply discounted, well below the 20x target, reflecting Argentine sovereign risk premium despite excellent operational execution. D/E of 84.75% is manageable for an integrated oil company. ROE of 7.26% (per yfinance TTM) understates the improving trajectory — H1 2026 annualized ROE based on $1.614B half-year profit is substantially higher. Profit margin of 4.0% (yfinance trailing) is similarly conservative; H1 2026 net margin was ~14% ($1.614B/$11.52B) [1]. PEG ratio of 0.1 reflects massive earnings growth from a near-zero base, scoring perfectly with 2x weight. Revenue 5-year CAGR of ~7% reflects FX distortions masking underlying production growth [4]. Liquidity floor cleared: ~$77M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YPF plays a mixed game — the company demonstrates genuine long-term vision through its multi-year Vaca Muerta development strategy, massive VMOS pipeline infrastructure investment ($5.5-5.8B annual capex), and production targets extending through the decade. CEO Marin's leadership has brought operational discipline and strategic clarity. However, government majority ownership introduces political short-termism, currency distortions, and leadership succession risk tied to election cycles rather than corporate purpose.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Developing Vaca Muerta to achieve Argentine energy independence and transform the country into a global energy exporter is a genuine cause extending beyond quarterly earnings — it connects YPF's work to national economic transformation [1][2]. CEO Marin's vision of making YPF a 'top 20 global energy company' provides directional clarity. The VMOS pipeline, LNG export strategy, and $5.5-5.8B annual capex reflect multi-decade commitment. However, government control means the cause is entangled with political cycles, and leadership changes with elections can redirect strategy entirely — the mission is as much about political economy as corporate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Marin has brought operational focus since late 2023, describing the Vaca Muerta development as a 'virtuous circle between state, industry, and unions' [2]. His expansion of the company-owned rig fleet from 12 to 18 shows trust in internal operational capability. The workforce of ~21,000 appears stable. However, government ownership means leadership appointments carry political dimensions, and the broader organization's culture is shaped by Argentine labor regulations and union dynamics rather than purely mission-driven empowerment.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YPF explicitly benchmarks against U.S. Permian Basin operators and global shale leaders, with CEO Marin dubbing Vaca Muerta 'the Permian of South America' [1][2]. The company's focus on driving lifting costs from $8.8/BOE toward Permian-level efficiency ($5-6/BOE) shows a learning orientation. Management references international best practices and uses competitor operational metrics as improvement targets rather than framing competition as a zero-sum game.</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While YPF has evolved from conventional to shale production, this is an adaptation within the same industry rather than a transformative reinvention. The company remains fundamentally an oil and gas producer. The net-zero 2050 commitment and Y-TEC research into lithium battery and hydrogen technology show awareness of energy transition but lack concrete transformation pathways [3]. Government ownership structurally constrains the ability to make dramatic strategic pivots, and the company's identity is inseparable from Argentine fossil fuel production.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YPF's massive $5.5-5.8B annual capex investment in Vaca Muerta infrastructure — particularly the VMOS pipeline (62% complete, January 2027 Phase I) and aggressive rig fleet expansion — represents significant long-term conviction during Argentine macroeconomic instability [1]. Committing to this investment pace while managing currency volatility, inflation, and political uncertainty requires genuine courage. CEO Marin and VP Farina purchased shares personally in July 2026, signaling financial commitment to the thesis [4]. However, the investment strategy is largely one-directional (more shale production) rather than a pattern of courageous strategic pivots.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YPF offers compelling exposure to the Vaca Muerta shale revolution at a deep value entry point. H1 2026 delivered transformative results: $11.52B revenue (up 24.6% YoY in USD), $1.614B net profit (versus just $48M in H1 2025), and $4.237B operating cash flow (more than double YoY) [1]. Shale oil production reached 205,000 bpd in Q1 2026 (up 39% YoY), now comprising 76% of total output, while lifting costs dropped 42% to $8.8/BOE — approaching Permian Basin efficiency levels. At 10.50x forward P/E, YPF trades at a massive discount to global integrated oil peers despite superior production growth trajectory. The VMOS export pipeline (62% complete, Phase I January 2027) is the key catalyst unlocking Argentina's ability to export crude at international prices, with capacity expandable to 550,000 bpd [1]. CEO Marin's operational discipline has driven record adjusted EBITDA margins of 32% in Q1 2026, and Stanley Druckenmiller's 433% stake increase to $150M validates the institutional case [4].</w:t>
      </w:r>
    </w:p>
    <w:p>
      <w:pPr>
        <w:spacing w:after="120"/>
      </w:pPr>
      <w:r>
        <w:rPr>
          <w:rFonts w:ascii="Calibri" w:hAnsi="Calibri"/>
          <w:b w:val="0"/>
          <w:color w:val="3A4A28"/>
          <w:sz w:val="20"/>
        </w:rPr>
        <w:t>The bear case is dominated by Argentine sovereign and currency risk. Past peso devaluations have converted record EBITDA into net losses, and future currency instability could repeat this pattern regardless of operational performance — the trailing PE of 29.7x versus forward PE of 10.5x reflects this accounting distortion [4]. Government majority ownership (~51%) creates structural risks: political appointments drive leadership changes, capital controls can trap cash flows in-country, and export restrictions may limit realization of international pricing even after VMOS completion. D/E of 84.75% is manageable but elevated for an emerging market operator with commodity price exposure and currency volatility. Without new discoveries, current reserves last only ~8 years for oil at current production rates, creating a reserve replacement treadmill [3]. Environmental lawsuits related to fracking could delay Vaca Muerta expansion, and the YPF ADR's 52-week range reflects extreme volatility driven by Argentine political and macro factors beyond management's control. ROE of 7.26% (trailing, impacted by peso conversion) and profit margin of 4.0% (trailing) understate current profitability but highlight the financial reporting challenges that limit institutional investor confidence.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VMOS oil export pipeline Phase I operational January 2027 (180,000 bpd capacity, expandable to 550,000 bpd), enabling access to international crude pricing and potentially transforming YPF's revenue and margin profile on exported barrels [1]</w:t>
      </w:r>
    </w:p>
    <w:p>
      <w:pPr>
        <w:spacing w:before="40" w:after="40"/>
        <w:ind w:left="283"/>
      </w:pPr>
      <w:r>
        <w:rPr>
          <w:rFonts w:ascii="Calibri" w:hAnsi="Calibri"/>
          <w:b/>
          <w:color w:val="4A6B25"/>
          <w:sz w:val="20"/>
        </w:rPr>
        <w:t xml:space="preserve">2. </w:t>
      </w:r>
      <w:r>
        <w:rPr>
          <w:rFonts w:ascii="Calibri" w:hAnsi="Calibri"/>
          <w:b w:val="0"/>
          <w:color w:val="3A4A28"/>
          <w:sz w:val="20"/>
        </w:rPr>
        <w:t>Shale oil production ramp to 250,000 bpd exit rate by December 2026 with rig fleet expanding from 12 to 18 company-owned rigs, driving volume-led EBITDA growth on declining per-barrel lifting costs [1]</w:t>
      </w:r>
    </w:p>
    <w:p>
      <w:pPr>
        <w:spacing w:before="40" w:after="40"/>
        <w:ind w:left="283"/>
      </w:pPr>
      <w:r>
        <w:rPr>
          <w:rFonts w:ascii="Calibri" w:hAnsi="Calibri"/>
          <w:b/>
          <w:color w:val="4A6B25"/>
          <w:sz w:val="20"/>
        </w:rPr>
        <w:t xml:space="preserve">3. </w:t>
      </w:r>
      <w:r>
        <w:rPr>
          <w:rFonts w:ascii="Calibri" w:hAnsi="Calibri"/>
          <w:b w:val="0"/>
          <w:color w:val="3A4A28"/>
          <w:sz w:val="20"/>
        </w:rPr>
        <w:t>Continued lifting cost reduction toward Permian Basin levels ($5-6/BOE) from current $8.8/BOE, expanding margins even at lower oil prices and demonstrating world-class operational execution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Argentine sovereign and currency risk — peso devaluation has historically destroyed reported earnings despite record operational performance, and future instability could prevent international ADR investors from realizing returns [1][4]</w:t>
      </w:r>
    </w:p>
    <w:p>
      <w:pPr>
        <w:spacing w:before="40" w:after="40"/>
        <w:ind w:left="283"/>
      </w:pPr>
      <w:r>
        <w:rPr>
          <w:rFonts w:ascii="Calibri" w:hAnsi="Calibri"/>
          <w:b/>
          <w:color w:val="4A6B25"/>
          <w:sz w:val="20"/>
        </w:rPr>
        <w:t xml:space="preserve">2. </w:t>
      </w:r>
      <w:r>
        <w:rPr>
          <w:rFonts w:ascii="Calibri" w:hAnsi="Calibri"/>
          <w:b w:val="0"/>
          <w:color w:val="3A4A28"/>
          <w:sz w:val="20"/>
        </w:rPr>
        <w:t>Government majority ownership and political interference — leadership changes tied to election cycles, capital controls, and export restrictions can redirect strategy and constrain shareholder value realization independent of operational execution [2]</w:t>
      </w:r>
    </w:p>
    <w:p>
      <w:pPr>
        <w:spacing w:before="40" w:after="40"/>
        <w:ind w:left="283"/>
      </w:pPr>
      <w:r>
        <w:rPr>
          <w:rFonts w:ascii="Calibri" w:hAnsi="Calibri"/>
          <w:b/>
          <w:color w:val="4A6B25"/>
          <w:sz w:val="20"/>
        </w:rPr>
        <w:t xml:space="preserve">3. </w:t>
      </w:r>
      <w:r>
        <w:rPr>
          <w:rFonts w:ascii="Calibri" w:hAnsi="Calibri"/>
          <w:b w:val="0"/>
          <w:color w:val="3A4A28"/>
          <w:sz w:val="20"/>
        </w:rPr>
        <w:t>Reserve life of approximately 8 years for oil at current production rates requires continuous high-capex Vaca Muerta development; any permitting delays, environmental litigation, or capital constraints could stall the production growth trajectory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YPF's core business — extracting oil and gas from Vaca Muerta shale, refining petroleum products, and building export pipeline infrastructure — is deeply physical-world and structurally immune to AI substitution [1]. Oil and gas extraction requires drilling rigs, subsurface geology expertise, physical pipeline networks, and refinery operations that AI cannot replace. AI data centers are actually increasing global energy demand, benefiting oil and gas producers. Argentine regulatory complexity and government ownership create additional structural moats. YPF's Real Time Intelligence Center and Globant AI partnership show the company is adopting AI as an operational enabler rather than facing it as a threat [2]. AI Opportunity (0/1): No evidence of AI-driven revenue generation. YPF's AI investments focus on operational optimization (reservoir management, supply chain) rather than AI product commercialization.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YPF H1 2026 Results and Q1 2026 Earnings — H1 revenue $11.52B (+24.6% YoY), net profit $1.614B, OCF $4.237B; Q1 record EBITDA $1.6B (32% margin), shale oil 205K bpd, lifting costs $8.8/BOE — SEC 6-K, Quartr, IndustrialInfo, May-July 2026</w:t>
      </w:r>
    </w:p>
    <w:p>
      <w:pPr>
        <w:spacing w:before="20" w:after="20"/>
        <w:ind w:left="170"/>
      </w:pPr>
      <w:r>
        <w:rPr>
          <w:rFonts w:ascii="Calibri" w:hAnsi="Calibri"/>
          <w:b/>
          <w:color w:val="4A6B25"/>
          <w:sz w:val="15"/>
        </w:rPr>
        <w:t xml:space="preserve">2. </w:t>
      </w:r>
      <w:r>
        <w:rPr>
          <w:rFonts w:ascii="Calibri" w:hAnsi="Calibri"/>
          <w:b w:val="0"/>
          <w:color w:val="3A4A28"/>
          <w:sz w:val="17"/>
        </w:rPr>
        <w:t>YPF Leadership, AI Strategy, and Culture — CEO Horacio Marin vision, Globant AI supply chain partnership, Real Time Intelligence Center, Y-TEC R&amp;D arm — NYSE, Globant PR, 2025-2026</w:t>
      </w:r>
    </w:p>
    <w:p>
      <w:pPr>
        <w:spacing w:before="20" w:after="20"/>
        <w:ind w:left="170"/>
      </w:pPr>
      <w:r>
        <w:rPr>
          <w:rFonts w:ascii="Calibri" w:hAnsi="Calibri"/>
          <w:b/>
          <w:color w:val="4A6B25"/>
          <w:sz w:val="15"/>
        </w:rPr>
        <w:t xml:space="preserve">3. </w:t>
      </w:r>
      <w:r>
        <w:rPr>
          <w:rFonts w:ascii="Calibri" w:hAnsi="Calibri"/>
          <w:b w:val="0"/>
          <w:color w:val="3A4A28"/>
          <w:sz w:val="17"/>
        </w:rPr>
        <w:t>YPF ESG Profile — Sustainability Index membership, SAM Corporate Sustainability Assessment, net-zero 2050 commitment, reserve life analysis — NRGI, S&amp;P Global, SEC 20-F, 2024-2026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YPF Key Statistics: Forward P/E 10.50x, PE 29.70x, ROE 7.26%, D/E 84.75%, PEG 0.10, Price $57.61, insider purchases July 2026, Druckenmiller stake increase,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