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Calibri" w:hAnsi="Calibri"/>
          <w:b/>
          <w:color w:val="4A6B25"/>
          <w:sz w:val="44"/>
        </w:rPr>
        <w:t>Buffett / Ackman Hold Forever Audit</w:t>
      </w:r>
    </w:p>
    <w:p>
      <w:pPr>
        <w:spacing w:after="80"/>
        <w:jc w:val="center"/>
      </w:pPr>
      <w:r>
        <w:rPr>
          <w:rFonts w:ascii="Calibri" w:hAnsi="Calibri"/>
          <w:b w:val="0"/>
          <w:color w:val="6E8450"/>
          <w:sz w:val="20"/>
        </w:rPr>
        <w:t>If the stock market closed for 10 years, would you be happy holding this?</w:t>
      </w:r>
    </w:p>
    <w:p>
      <w:pPr>
        <w:spacing w:after="200"/>
        <w:jc w:val="center"/>
      </w:pPr>
      <w:r>
        <w:rPr>
          <w:rFonts w:ascii="Calibri" w:hAnsi="Calibri"/>
          <w:b/>
          <w:color w:val="6E8450"/>
          <w:sz w:val="22"/>
        </w:rPr>
        <w:t xml:space="preserve">HOLD FOREVER: </w:t>
      </w:r>
      <w:r>
        <w:rPr>
          <w:rFonts w:ascii="Calibri" w:hAnsi="Calibri"/>
          <w:b/>
          <w:color w:val="16A34A"/>
          <w:sz w:val="22"/>
        </w:rPr>
        <w:t>20 stocks</w:t>
      </w:r>
      <w:r>
        <w:rPr>
          <w:rFonts w:ascii="Calibri" w:hAnsi="Calibri"/>
          <w:b/>
          <w:color w:val="6E8450"/>
          <w:sz w:val="22"/>
        </w:rPr>
        <w:t xml:space="preserve">    NOT HOLD FOREVER: </w:t>
      </w:r>
      <w:r>
        <w:rPr>
          <w:rFonts w:ascii="Calibri" w:hAnsi="Calibri"/>
          <w:b/>
          <w:color w:val="DC2626"/>
          <w:sz w:val="22"/>
        </w:rPr>
        <w:t>30 stocks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4A6B25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5"/>
              </w:rPr>
              <w:t>#</w:t>
            </w:r>
          </w:p>
        </w:tc>
        <w:tc>
          <w:tcPr>
            <w:tcW w:type="dxa" w:w="1930"/>
            <w:shd w:fill="4A6B25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5"/>
              </w:rPr>
              <w:t>Ticker</w:t>
            </w:r>
          </w:p>
        </w:tc>
        <w:tc>
          <w:tcPr>
            <w:tcW w:type="dxa" w:w="1930"/>
            <w:shd w:fill="4A6B25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5"/>
              </w:rPr>
              <w:t>Sleeve</w:t>
            </w:r>
          </w:p>
        </w:tc>
        <w:tc>
          <w:tcPr>
            <w:tcW w:type="dxa" w:w="1930"/>
            <w:shd w:fill="4A6B25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5"/>
              </w:rPr>
              <w:t>Score</w:t>
            </w:r>
          </w:p>
        </w:tc>
        <w:tc>
          <w:tcPr>
            <w:tcW w:type="dxa" w:w="1930"/>
            <w:shd w:fill="4A6B25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5"/>
              </w:rPr>
              <w:t>Hold Forever?</w:t>
            </w:r>
          </w:p>
        </w:tc>
        <w:tc>
          <w:tcPr>
            <w:tcW w:type="dxa" w:w="1930"/>
            <w:shd w:fill="4A6B25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1930"/>
            <w:shd w:fill="4A6B25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5"/>
              </w:rPr>
              <w:t>Moat</w:t>
            </w:r>
          </w:p>
        </w:tc>
        <w:tc>
          <w:tcPr>
            <w:tcW w:type="dxa" w:w="1930"/>
            <w:shd w:fill="4A6B25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5"/>
              </w:rPr>
              <w:t>Earnings</w:t>
            </w:r>
          </w:p>
        </w:tc>
        <w:tc>
          <w:tcPr>
            <w:tcW w:type="dxa" w:w="1930"/>
            <w:shd w:fill="4A6B25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5"/>
              </w:rPr>
              <w:t>10yr Risk</w:t>
            </w:r>
          </w:p>
        </w:tc>
        <w:tc>
          <w:tcPr>
            <w:tcW w:type="dxa" w:w="1930"/>
            <w:shd w:fill="4A6B25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5"/>
              </w:rPr>
              <w:t>Verdict</w:t>
            </w:r>
          </w:p>
        </w:tc>
      </w:tr>
      <w:tr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NVDA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Growth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100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6"/>
              </w:rPr>
              <w:t>YES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Strong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CUDA ecosystem is arguably strongest moat in tech — 17 years of developer lock-in, 90% AI share, 55.6% margins. But $4.3</w:t>
            </w:r>
          </w:p>
        </w:tc>
      </w:tr>
      <w:tr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TSM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Growth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89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6"/>
              </w:rPr>
              <w:t>YES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Strong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Strongest competitive moat in technology: 90% advanced node share, 45% margins, 35% ROE. But 90%+ production in Taiwan c</w:t>
            </w:r>
          </w:p>
        </w:tc>
      </w:tr>
      <w:tr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AMD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Growth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87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6"/>
              </w:rPr>
              <w:t>YES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Strong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 xml:space="preserve">Lisa Su's turnaround is one of the great CEO stories. x86 + AI accelerator dual franchise. But semiconductor cycles are </w:t>
            </w:r>
          </w:p>
        </w:tc>
      </w:tr>
      <w:tr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MRVL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Growth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86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6"/>
              </w:rPr>
              <w:t>YES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Strong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CEO Matt Murphy's $17B acquisition transformation created #2 custom AI silicon provider. Custom silicon doubled to $1.5B</w:t>
            </w:r>
          </w:p>
        </w:tc>
      </w:tr>
      <w:tr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KEYS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Growth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83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6"/>
              </w:rPr>
              <w:t>YES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Strong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Low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Every technology wave requires Keysight's test tools to validate. Niche but essential infrastructure. Conservative balan</w:t>
            </w:r>
          </w:p>
        </w:tc>
      </w:tr>
      <w:tr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NEE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Dividend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82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6"/>
              </w:rPr>
              <w:t>YES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Strong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Low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Regulated FL utility monopoly + world's largest renewable fleet. AI electricity demand tailwind. Google gigawatt-scale p</w:t>
            </w:r>
          </w:p>
        </w:tc>
      </w:tr>
      <w:tr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LRCX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Dividend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80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6"/>
              </w:rPr>
              <w:t>YES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Strong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~50% etch market share, only 3 major competitors globally, enormous switching costs. AI structurally expands demand. Cyc</w:t>
            </w:r>
          </w:p>
        </w:tc>
      </w:tr>
      <w:tr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ADI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Dividend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78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6"/>
              </w:rPr>
              <w:t>YES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Strong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 xml:space="preserve">60+ years of irreplaceable analog design expertise, AI is a tailwind. Dinged by semiconductor cyclicality and depressed </w:t>
            </w:r>
          </w:p>
        </w:tc>
      </w:tr>
      <w:tr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9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SYK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Dividend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78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6"/>
              </w:rPr>
              <w:t>YES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Strong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Low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Mako surgical robot platform (3,000+ installations) creates razor-and-razorblade moat with surgeon training lock-in. FDA</w:t>
            </w:r>
          </w:p>
        </w:tc>
      </w:tr>
      <w:tr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10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CAT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Dividend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76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6"/>
              </w:rPr>
              <w:t>YES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Strong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101-year dominance, dealer network moat, AI data center tailwinds, $51B backlog. Deep cyclicality is real — need stomach</w:t>
            </w:r>
          </w:p>
        </w:tc>
      </w:tr>
      <w:tr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11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LMT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Dividend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74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6"/>
              </w:rPr>
              <w:t>YES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Strong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Low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World's largest defense contractor, $194B record backlog, sole-source F-35. 23 years of dividend growth. Global rearmame</w:t>
            </w:r>
          </w:p>
        </w:tc>
      </w:tr>
      <w:tr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12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FTNT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Growth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74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6"/>
              </w:rPr>
              <w:t>YES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Strong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Low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Cybersecurity is non-discretionary and structurally growing. 500+ AI patents, custom ASIC silicon, 70% Fortune 100 penet</w:t>
            </w:r>
          </w:p>
        </w:tc>
      </w:tr>
      <w:tr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13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ABT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Dividend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73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6"/>
              </w:rPr>
              <w:t>YES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Strong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Low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138-year healthcare stalwart, FreeStyle Libre dominance, 54-year dividend streak, conservative D/E of 26.8%.</w:t>
            </w:r>
          </w:p>
        </w:tc>
      </w:tr>
      <w:tr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14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ATO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Dividend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72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6"/>
              </w:rPr>
              <w:t>YES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Strong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Regulated monopoly with 41-year dividend streak. Risk: electrification could structurally reduce natural gas demand over</w:t>
            </w:r>
          </w:p>
        </w:tc>
      </w:tr>
      <w:tr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15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DGX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Dividend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72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6"/>
              </w:rPr>
              <w:t>YES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Strong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Low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Largest US independent clinical lab with physical specimen-processing moat AI cannot replicate. CLIA regulatory barriers</w:t>
            </w:r>
          </w:p>
        </w:tc>
      </w:tr>
      <w:tr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16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PCAR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Dividend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70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6"/>
              </w:rPr>
              <w:t>YES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Strong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121-year premium truck manufacturer. Parts and Financial Services now 71% of profit, reducing cyclicality. Pigott family</w:t>
            </w:r>
          </w:p>
        </w:tc>
      </w:tr>
      <w:tr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17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ADP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Dividend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69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6"/>
              </w:rPr>
              <w:t>YES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Strong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73.8% ROE, 42M workers on the platform, massive switching costs. But AI disruption is a real threat — payroll/HR are exa</w:t>
            </w:r>
          </w:p>
        </w:tc>
      </w:tr>
      <w:tr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18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GD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Dividend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68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6"/>
              </w:rPr>
              <w:t>YES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Strong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Low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Sole-source on Columbia-class submarines through 2040s, $118B backlog. 25 years of dividend growth, 100% FCF conversion.</w:t>
            </w:r>
          </w:p>
        </w:tc>
      </w:tr>
      <w:tr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19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FAST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Dividend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64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6"/>
              </w:rPr>
              <w:t>YES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Strong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Low</w:t>
            </w:r>
          </w:p>
        </w:tc>
        <w:tc>
          <w:tcPr>
            <w:tcW w:type="dxa" w:w="1930"/>
            <w:shd w:fill="E8F5E9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134,000 smart vending devices physically embedded in customer operations create enormous switching costs. 33% ROE on 11%</w:t>
            </w:r>
          </w:p>
        </w:tc>
      </w:tr>
      <w:tr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20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CL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Dividend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59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6"/>
              </w:rPr>
              <w:t>YES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Low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Strong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1930"/>
            <w:shd w:fill="D7ECD7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#1 global toothpaste share (~40%) across 200+ countries is irreplaceable. But 2,343% D/E, 78% payout ratio, 1.4% organic</w:t>
            </w:r>
          </w:p>
        </w:tc>
      </w:tr>
      <w:tr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21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QCOM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Dividend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87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Strong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5"/>
              </w:rPr>
              <w:t>High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Apple in-housing its modem (20-25% of chip revenue at risk) is existential threat. Semiconductor moats erode with each t</w:t>
            </w:r>
          </w:p>
        </w:tc>
      </w:tr>
      <w:tr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22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CRDO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Growth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82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97706"/>
                <w:sz w:val="15"/>
              </w:rPr>
              <w:t>Moderate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5"/>
              </w:rPr>
              <w:t>High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622 employees, extreme hyperscaler concentration. Hypergrowth semi companies rarely sustain dominance through full cycle</w:t>
            </w:r>
          </w:p>
        </w:tc>
      </w:tr>
      <w:tr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23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AEM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Growth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78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97706"/>
                <w:sz w:val="15"/>
              </w:rPr>
              <w:t>Moderate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Low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5"/>
              </w:rPr>
              <w:t>High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Best-in-class gold miner but gold is a commodity with no cash flow yield. Revenue swings with gold prices. Mining is cap</w:t>
            </w:r>
          </w:p>
        </w:tc>
      </w:tr>
      <w:tr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24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FCX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Growth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77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97706"/>
                <w:sz w:val="15"/>
              </w:rPr>
              <w:t>Moderate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Copper demand tailwinds are multi-decade but 8.5% margins, Indonesian government risk, and commodity price cyclicality p</w:t>
            </w:r>
          </w:p>
        </w:tc>
      </w:tr>
      <w:tr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25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VST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Growth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75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97706"/>
                <w:sz w:val="15"/>
              </w:rPr>
              <w:t>Moderate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5"/>
              </w:rPr>
              <w:t>High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AI-power thesis compelling (nuclear PPAs with Meta/Amazon) but 399.6% D/E, 5.3% margin, worst sulfur dioxide polluter. B</w:t>
            </w:r>
          </w:p>
        </w:tc>
      </w:tr>
      <w:tr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26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CNX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Growth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73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Weak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Low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5"/>
              </w:rPr>
              <w:t>High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Natural gas commodity with extreme price sensitivity. -18.3% 3yr revenue CAGR. Revenue can halve based on gas prices alo</w:t>
            </w:r>
          </w:p>
        </w:tc>
      </w:tr>
      <w:tr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27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STLD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Dividend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72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Weak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Low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5"/>
              </w:rPr>
              <w:t>High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Excellent operator but steel is deeply cyclical commodity with 6.5% profit margins. Earnings fell 20% in 2025 despite re</w:t>
            </w:r>
          </w:p>
        </w:tc>
      </w:tr>
      <w:tr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28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HRMY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Growth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72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97706"/>
                <w:sz w:val="15"/>
              </w:rPr>
              <w:t>Moderate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Low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5"/>
              </w:rPr>
              <w:t>High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Single-drug company is Buffett's nightmare. One patent ruling can vaporize entire revenue base. Generic entry risk as ea</w:t>
            </w:r>
          </w:p>
        </w:tc>
      </w:tr>
      <w:tr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29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ATAT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Growth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71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97706"/>
                <w:sz w:val="15"/>
              </w:rPr>
              <w:t>Moderate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5"/>
              </w:rPr>
              <w:t>High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Chinese hotel chain with VIE structure — US investors have no direct ownership of operating assets. Regulatory, delistin</w:t>
            </w:r>
          </w:p>
        </w:tc>
      </w:tr>
      <w:tr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30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HOOD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Growth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71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Low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97706"/>
                <w:sz w:val="15"/>
              </w:rPr>
              <w:t>Moderate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Strong numbers (42% margins, $4.47B revenue) but moat question unresolved. Zero-commission now table stakes. Crypto reve</w:t>
            </w:r>
          </w:p>
        </w:tc>
      </w:tr>
      <w:tr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31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TOL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Growth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71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97706"/>
                <w:sz w:val="15"/>
              </w:rPr>
              <w:t>Moderate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Low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5"/>
              </w:rPr>
              <w:t>High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Luxury homebuilding is among the most cyclical sectors. Earnings swing wildly with rates and housing cycles. Backlog dec</w:t>
            </w:r>
          </w:p>
        </w:tc>
      </w:tr>
      <w:tr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32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CVX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Growth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69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Strong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Low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5"/>
              </w:rPr>
              <w:t>High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Fortress balance sheet and global scale but oil demand faces structural decline from EV adoption and renewables. 6.7% pr</w:t>
            </w:r>
          </w:p>
        </w:tc>
      </w:tr>
      <w:tr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33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SYF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Growth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69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97706"/>
                <w:sz w:val="15"/>
              </w:rPr>
              <w:t>Moderate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Low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5"/>
              </w:rPr>
              <w:t>High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Consumer credit is cyclical. Recession would spike charge-offs. Walmart/Amazon hold negotiating leverage. Fintech disrup</w:t>
            </w:r>
          </w:p>
        </w:tc>
      </w:tr>
      <w:tr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34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BKH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Dividend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68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97706"/>
                <w:sz w:val="15"/>
              </w:rPr>
              <w:t>Moderate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Too small, too leveraged (120% D/E), too weather-dependent, growth capped at 4-6% EPS. Weak ROE (8.0%), NorthWestern mer</w:t>
            </w:r>
          </w:p>
        </w:tc>
      </w:tr>
      <w:tr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35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EIX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Growth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68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Strong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5"/>
              </w:rPr>
              <w:t>High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Strongest structural moat (regulated monopoly) but worst existential risk. $10B+ Eaton fire liability, Altman Z-Score 0.</w:t>
            </w:r>
          </w:p>
        </w:tc>
      </w:tr>
      <w:tr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36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NTR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Dividend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67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97706"/>
                <w:sz w:val="15"/>
              </w:rPr>
              <w:t>Moderate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Low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5"/>
              </w:rPr>
              <w:t>High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 xml:space="preserve">Classic commodity trap. Revenue swung from $37.9B to $26.9B from price normalization. ROE 9.2%, three CEO changes. Zero </w:t>
            </w:r>
          </w:p>
        </w:tc>
      </w:tr>
      <w:tr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37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COIN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Growth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67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97706"/>
                <w:sz w:val="15"/>
              </w:rPr>
              <w:t>Moderate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Low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5"/>
              </w:rPr>
              <w:t>High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Revenue dropped 22% in a single quarter from crypto sentiment shifts. Crypto industry existentially uncertain over 10 ye</w:t>
            </w:r>
          </w:p>
        </w:tc>
      </w:tr>
      <w:tr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38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GPC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Dividend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66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97706"/>
                <w:sz w:val="15"/>
              </w:rPr>
              <w:t>Moderate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Low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5"/>
              </w:rPr>
              <w:t>High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 xml:space="preserve">70-year Dividend King but GAAP EPS collapsed 94.8% in 2025. EV adoption is secular headwind. D/E 156%, Moody's negative </w:t>
            </w:r>
          </w:p>
        </w:tc>
      </w:tr>
      <w:tr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39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TEL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Dividend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66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97706"/>
                <w:sz w:val="15"/>
              </w:rPr>
              <w:t>Moderate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Current 22% growth masks 6.7% 5-year CAGR. AI data center boom will normalize. Connectors face commoditization from Asia</w:t>
            </w:r>
          </w:p>
        </w:tc>
      </w:tr>
      <w:tr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40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CTRA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Dividend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65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Weak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Low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5"/>
              </w:rPr>
              <w:t>High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Commodity E&amp;P with zero pricing power — revenue 100% dictated by oil and gas spot prices. Excellent operator but Buffett</w:t>
            </w:r>
          </w:p>
        </w:tc>
      </w:tr>
      <w:tr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41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NXPI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Growth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65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97706"/>
                <w:sz w:val="15"/>
              </w:rPr>
              <w:t>Moderate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Automotive semiconductor leader but 3 years of flat-to-declining revenue, 119.7% D/E, new untested CEO. Lacks dominant m</w:t>
            </w:r>
          </w:p>
        </w:tc>
      </w:tr>
      <w:tr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42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SSNC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Dividend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63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97706"/>
                <w:sz w:val="15"/>
              </w:rPr>
              <w:t>Moderate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97% client retention but AI disruption risk on document processing. $7.5B acquisition debt, only 4.8% organic growth. To</w:t>
            </w:r>
          </w:p>
        </w:tc>
      </w:tr>
      <w:tr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43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CWAN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Growth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63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97706"/>
                <w:sz w:val="15"/>
              </w:rPr>
              <w:t>Moderate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 xml:space="preserve">Negative GAAP profitability (-5.3% margin), pending PE buyout limits upside. Too early and too small to have conviction </w:t>
            </w:r>
          </w:p>
        </w:tc>
      </w:tr>
      <w:tr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44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OKE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Growth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63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97706"/>
                <w:sz w:val="15"/>
              </w:rPr>
              <w:t>Moderate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5"/>
              </w:rPr>
              <w:t>High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60,000 miles of pipeline but $32B debt from Magellan acquisition (D/E 146%). Energy transition creates genuine 10-year u</w:t>
            </w:r>
          </w:p>
        </w:tc>
      </w:tr>
      <w:tr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45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HUT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Growth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61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Weak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Low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5"/>
              </w:rPr>
              <w:t>High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Speculative transformation from Bitcoin mining to AI data centers. -96% profit margin, $248M net loss. Competing against</w:t>
            </w:r>
          </w:p>
        </w:tc>
      </w:tr>
      <w:tr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46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ORI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Dividend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59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97706"/>
                <w:sz w:val="15"/>
              </w:rPr>
              <w:t>Moderate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193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 xml:space="preserve">84-year dividend streak but innovation score 3/10. Title insurance cyclically exposed to mortgage rates. Lacks earnings </w:t>
            </w:r>
          </w:p>
        </w:tc>
      </w:tr>
      <w:tr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47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CHD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Dividend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57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97706"/>
                <w:sz w:val="15"/>
              </w:rPr>
              <w:t>Moderate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Medium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193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0.7% organic growth, 20.8% EPS decline, reliance on serial acquisitions. ARM &amp; HAMMER is good but not dominant. Cannot g</w:t>
            </w:r>
          </w:p>
        </w:tc>
      </w:tr>
      <w:tr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48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VLO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Dividend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51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Weak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Low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5"/>
              </w:rPr>
              <w:t>High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2% profit margins, 8.3% ROE, violent crack-spread cyclicality, frozen dividend 2021-2022. EV adoption as secular headwin</w:t>
            </w:r>
          </w:p>
        </w:tc>
      </w:tr>
      <w:tr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49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MARA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Growth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43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Weak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Low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5"/>
              </w:rPr>
              <w:t>High</w:t>
            </w:r>
          </w:p>
        </w:tc>
        <w:tc>
          <w:tcPr>
            <w:tcW w:type="dxa" w:w="1930"/>
            <w:shd w:fill="FFF5F5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-144% profit margin, -34% ROE, $1.7B net loss, $2.2B convertible debt to buy Bitcoin. Changed identity 3 times in 15 yea</w:t>
            </w:r>
          </w:p>
        </w:tc>
      </w:tr>
      <w:tr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50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SUPV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Growth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41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High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Weak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Low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C2626"/>
                <w:sz w:val="15"/>
              </w:rPr>
              <w:t>High</w:t>
            </w:r>
          </w:p>
        </w:tc>
        <w:tc>
          <w:tcPr>
            <w:tcW w:type="dxa" w:w="1930"/>
            <w:shd w:fill="FFECEC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4"/>
              </w:rPr>
              <w:t>Negative ROE, negative margins, 29.8% real revenue decline. Macro bet on Argentina, not an owner-operator business. Cann</w:t>
            </w:r>
          </w:p>
        </w:tc>
      </w:tr>
    </w:tbl>
    <w:p>
      <w:pPr>
        <w:spacing w:before="240"/>
        <w:jc w:val="center"/>
      </w:pPr>
      <w:r>
        <w:rPr>
          <w:rFonts w:ascii="Calibri" w:hAnsi="Calibri"/>
          <w:b w:val="0"/>
          <w:color w:val="9DAF88"/>
          <w:sz w:val="14"/>
        </w:rPr>
        <w:t>Paradiem, LLC dba Intentional Ownership ("IOWN")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20160" w:h="12240"/>
      <w:pgMar w:top="576" w:right="432" w:bottom="576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