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ABUS</w:t>
      </w:r>
      <w:r>
        <w:rPr>
          <w:rFonts w:ascii="Calibri" w:hAnsi="Calibri"/>
          <w:b/>
          <w:color w:val="1A2010"/>
          <w:sz w:val="40"/>
        </w:rPr>
        <w:t xml:space="preserve">  Arbutus Biopharma Corporation</w:t>
      </w:r>
    </w:p>
    <w:p>
      <w:pPr>
        <w:spacing w:after="120"/>
      </w:pPr>
      <w:r>
        <w:rPr>
          <w:rFonts w:ascii="Calibri" w:hAnsi="Calibri"/>
          <w:b/>
          <w:color w:val="6E8450"/>
          <w:sz w:val="18"/>
        </w:rPr>
        <w:t>GROWTH SLEEVE · 2026-07-16 · Inspire: 19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Arbutus Biopharma is a clinical-stage biopharmaceutical company developing novel therapeutics for chronic Hepatitis B virus (HBV). Its pipeline includes imdusiran (AB-729), an RNAi therapeutic with FDA Fast Track designation in Phase 2a trials that has achieved functional cure in 10 patients, and AB-101, an oral PD-L1 inhibitor in Phase 1a/1b trials. The company holds foundational lipid nanoparticle (LNP) delivery technology patents and reached a landmark $2.25B global settlement with Moderna in March 2026, with the $950M noncontingent payment due July 2026.</w:t>
      </w:r>
    </w:p>
    <w:p>
      <w:r>
        <w:rPr>
          <w:rFonts w:ascii="Calibri" w:hAnsi="Calibri"/>
          <w:b/>
          <w:color w:val="6E8450"/>
          <w:sz w:val="18"/>
        </w:rPr>
        <w:t>19 Employees · https://www.arbutusbio.com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Arbutus has pivoted from broad-based antiviral development to a focused HBV strategy but has not commercialized any product after two decades of operation [1]. The foundational LNP technology licensing through Genevant and the landmark $2.25B Moderna patent settlement validate the IP's category-defining value but do not constitute product launches [2]. AI Deployment (0/2): No AI-powered products or AI-driven internal efficiency gains reported; the company's R&amp;D approach is traditional clinical-stage biotech with wet-lab and clinical trial methodology [1]. Market Share (1/2): Arbutus holds foundational LNP patents that underpin mRNA vaccine delivery globally — the Moderna settlement validates this IP as the industry standard, establishing de facto technology leadership even though Arbutus does not directly compete in vaccines [2]. Pipeline (2/2): Imdusiran received FDA Fast Track designation in April 2026 and has achieved functional cure in 10 chronic HBV patients in Phase 2a — specific regulatory pathway with clear clinical milestones and durable response data [3]. AB-101 adds a complementary oral PD-L1 mechanism. R&amp;D Intensity (1/1): As a 19-person clinical-stage company, virtually all spending is R&amp;D-focused; $39.6M annual operating cash burn represents near-total research commitment against minimal revenue base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Arbutus' mission focuses on developing novel therapeutics for infectious diseases, specifically targeting the 300+ million people worldwide living with chronic HBV — a meaningful medical mission addressing genuine unmet need, but not uniquely articulated compared to other clinical-stage biotechs pursuing rare disease [1]. Community Impact (1/2): The HBV program addresses a significant unmet medical need concentrated in developing countries and underserved populations where HBV prevalence is highest; imdusiran's functional cure results could be transformative for patients who currently face lifelong antiviral therapy [3]. Employee Retention (0/2): The company underwent a complete board and CEO overhaul in February 2025, replacing the entire leadership team including appointment of Lindsay Androski as CEO — this signals significant organizational dysfunction under previous management and creates a trust-rebuilding period [4]. Insider Buying (0/2): No evidence of open-market insider purchases by the new leadership team in the last 12 months; insider ownership of 20.5% partly reflects legacy board holdings from pre-overhaul era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with pre-commercial biotech profile. Q1 2026 results were transformed by $179.1M Moderna settlement revenue recognition producing $169.7M net income, but this is a one-time event — underlying operations remain cash-burning [5]. D/E of 5.5% scores 1.0 (minimal debt). ROE of -38.5% (FY2025 annual) scores 0.0, though Q1 2026 was temporarily positive from settlement income. Revenue declined 33.2% YoY in FY2025 on a GAAP basis (pre-settlement), scoring 0.0. Forward PE is negative (no sustained profitability expected), scoring 1.0 under the lower-is-better formula. Profit margin of -237.88% (FY2025) scores 0.0. Weighted sum 3.0/6 = Infrastructure 3 (PEG excluded as N/A, 5yr CAGR excluded) [1]. The $950M Moderna payment due July 2026 transforms the cash position — Arbutus receives approximately $190M (20% after litigation costs) plus value from its 16% Genevant ownership, providing substantial runway beyond the prior $91.5M cash [2]. Liquidity: ~2.2M avg volume x $5.18 = $11.4M daily,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Arbutus has demonstrated endurance through multiple pivots and a 20-year pursuit of antiviral therapeutics, culminating in the vindication of its LNP IP through the $2.25B Moderna settlement. The imdusiran functional cure data represents genuine scientific achievement. However, the company's near-term focus is increasingly financial — returning settlement capital to shareholders rather than reinvesting fully in its mission — and the complete leadership overhaul in 2025 suggests organizational rebuilding rather than steady-state purpose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Curing chronic Hepatitis B for 300+ million patients worldwide is a genuine and important cause, but Arbutus has not articulated it as a transformative vision that shapes all strategic decisions [1]. The company's investor communications focus more on IP monetization (Moderna settlement) and capital return than on the HBV mission. The cause exists but does not appear to drive organizational behavior — the settlement windfall creates tension between purpose and profit.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complete board and CEO overhaul in February 2025 — replacing the entire leadership team — signals significant organizational dysfunction under previous management [4]. With only 19 employees and entirely new leadership still establishing culture, trust is being rebuilt from near-zero. Previous employee reviews cited leadership as deeply problematic. Lindsay Androski's appointment as CEO represents a fresh start, but there is insufficient track record to assess the new team's organizational health.</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Arbutus acknowledges Gilead, Johnson &amp; Johnson, and other HBV therapeutic developers as advancing complementary approaches. The imdusiran program is explicitly designed to work in combination with other mechanisms of action, reflecting a collaborative rather than winner-take-all competitive mindset [3]. The company frames the HBV treatment landscape as expanding rather than zero-sum.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Arbutus has reinvented itself multiple times — from Tekmira Pharmaceuticals (siRNA delivery technology) to Arbutus (broad antivirals) to a focused HBV company, while simultaneously monetizing its foundational LNP IP through the $2.25B Moderna settlement [2]. Each pivot built on prior scientific capabilities rather than abandoning them. However, the pivots were largely forced by clinical failures rather than driven by purpose — survival-driven flexibility rather than Just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pursue multi-year patent litigation against Moderna — a company 100x its size — and ultimately win a $2.25B settlement demonstrates significant courage and conviction in the value of its LNP intellectual property [2]. The new leadership's willingness to completely reconstitute the board and management team in February 2025 also shows readiness to make difficult organizational changes for long-term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Arbutus Biopharma's investment case centers on two transformative catalysts: the $2.25B Moderna LNP patent settlement and a promising HBV pipeline with imdusiran achieving functional cure in 10 patients and FDA Fast Track designation [2][3]. Q1 2026 showed $179.1M revenue and $169.7M net income from settlement recognition, fundamentally altering the company's financial position [5]. The $950M noncontingent payment due July 2026 delivers approximately $190M directly to Arbutus (20% after litigation costs) plus value from 16% Genevant ownership, providing multi-year cash runway at the $39.6M annual burn rate. The $1.3B contingent payment tied to a Section 1498 appellate ruling represents additional upside. At $5.18 per share on 197.5M shares outstanding (~$1.02B market cap), the settlement cash alone approaches the current valuation.</w:t>
      </w:r>
    </w:p>
    <w:p>
      <w:pPr>
        <w:spacing w:after="120"/>
      </w:pPr>
      <w:r>
        <w:rPr>
          <w:rFonts w:ascii="Calibri" w:hAnsi="Calibri"/>
          <w:b w:val="0"/>
          <w:color w:val="3A4A28"/>
          <w:sz w:val="20"/>
        </w:rPr>
        <w:t>The risks are substantial and typical of micro-cap biotech. Underlying revenue of $14.1M (FY2025, excluding settlement) is declining, the company has never been operationally profitable, and the $39.6M annual cash burn requires continued discipline [1]. The $1.3B contingent Moderna payment depends on a court ruling that may not be favorable, potentially capping total recovery at $950M. Imdusiran remains in Phase 2a — the vast majority of drugs at this stage never reach commercialization, and the HBV functional cure endpoint is scientifically demanding with Gilead's tenofovir franchise as the established standard of care [3]. With only 19 employees, Arbutus lacks infrastructure for commercial-stage operations and would need a licensing partner or significant scaling to bring any product to market. The complete leadership overhaul in February 2025 introduces execution uncertainty as CEO Androski and the new team are still establishing their strategic vision and organizational culture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Receipt of $950M noncontingent Moderna settlement payment in July 2026, with Arbutus receiving approximately $190M after litigation costs, potentially triggering capital return and valuation re-rating [2]</w:t>
      </w:r>
    </w:p>
    <w:p>
      <w:pPr>
        <w:spacing w:before="40" w:after="40"/>
        <w:ind w:left="283"/>
      </w:pPr>
      <w:r>
        <w:rPr>
          <w:rFonts w:ascii="Calibri" w:hAnsi="Calibri"/>
          <w:b/>
          <w:color w:val="4A6B25"/>
          <w:sz w:val="20"/>
        </w:rPr>
        <w:t xml:space="preserve">2. </w:t>
      </w:r>
      <w:r>
        <w:rPr>
          <w:rFonts w:ascii="Calibri" w:hAnsi="Calibri"/>
          <w:b w:val="0"/>
          <w:color w:val="3A4A28"/>
          <w:sz w:val="20"/>
        </w:rPr>
        <w:t>Court ruling on the $1.3B contingent Moderna settlement payment tied to Section 1498 appellate review, which could more than double total recovery [2]</w:t>
      </w:r>
    </w:p>
    <w:p>
      <w:pPr>
        <w:spacing w:before="40" w:after="40"/>
        <w:ind w:left="283"/>
      </w:pPr>
      <w:r>
        <w:rPr>
          <w:rFonts w:ascii="Calibri" w:hAnsi="Calibri"/>
          <w:b/>
          <w:color w:val="4A6B25"/>
          <w:sz w:val="20"/>
        </w:rPr>
        <w:t xml:space="preserve">3. </w:t>
      </w:r>
      <w:r>
        <w:rPr>
          <w:rFonts w:ascii="Calibri" w:hAnsi="Calibri"/>
          <w:b w:val="0"/>
          <w:color w:val="3A4A28"/>
          <w:sz w:val="20"/>
        </w:rPr>
        <w:t>Imdusiran Phase 2a to Phase 3 advancement with FDA Fast Track designation accelerating potential regulatory review and attracting partnership interest from larger pharma companies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Contingent $1.3B Moderna payment depends on a court ruling that could go against Arbutus, capping total recovery at $950M and limiting the settlement's transformative impact [2]</w:t>
      </w:r>
    </w:p>
    <w:p>
      <w:pPr>
        <w:spacing w:before="40" w:after="40"/>
        <w:ind w:left="283"/>
      </w:pPr>
      <w:r>
        <w:rPr>
          <w:rFonts w:ascii="Calibri" w:hAnsi="Calibri"/>
          <w:b/>
          <w:color w:val="4A6B25"/>
          <w:sz w:val="20"/>
        </w:rPr>
        <w:t xml:space="preserve">2. </w:t>
      </w:r>
      <w:r>
        <w:rPr>
          <w:rFonts w:ascii="Calibri" w:hAnsi="Calibri"/>
          <w:b w:val="0"/>
          <w:color w:val="3A4A28"/>
          <w:sz w:val="20"/>
        </w:rPr>
        <w:t>Imdusiran Phase 2a to Phase 3 transition risk — most drugs fail in later-stage trials, the HBV functional cure endpoint is scientifically challenging, and Gilead's established tenofovir franchise dominates the treatment landscape [3]</w:t>
      </w:r>
    </w:p>
    <w:p>
      <w:pPr>
        <w:spacing w:before="40" w:after="40"/>
        <w:ind w:left="283"/>
      </w:pPr>
      <w:r>
        <w:rPr>
          <w:rFonts w:ascii="Calibri" w:hAnsi="Calibri"/>
          <w:b/>
          <w:color w:val="4A6B25"/>
          <w:sz w:val="20"/>
        </w:rPr>
        <w:t xml:space="preserve">3. </w:t>
      </w:r>
      <w:r>
        <w:rPr>
          <w:rFonts w:ascii="Calibri" w:hAnsi="Calibri"/>
          <w:b w:val="0"/>
          <w:color w:val="3A4A28"/>
          <w:sz w:val="20"/>
        </w:rPr>
        <w:t>Leadership transition risk — complete CEO and board replacement in February 2025 means new management is still establishing strategy, culture, and clinical development priorities with only 19 employees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Drug discovery and clinical development for infectious diseases involve complex biological interactions, multi-year FDA-regulated clinical trials, and patient safety considerations that AI structurally cannot substitute [1]. Arbutus' core value lies in its foundational LNP delivery technology patents and clinical-stage HBV therapeutics — both rooted in decades of wet-lab biochemistry research and IP prosecution that no AI system can replicate. The FDA approval pathway for novel therapeutics requires human clinical trials with physical patients, immune to AI disruption. AI may accelerate certain aspects of drug discovery (target identification, molecular design), but this benefits the entire industry including Arbutus rather than threatening its specific IP and pipeline [1]. AI Opportunity (0/1): No AI-generated revenue; the company does not employ AI in its R&amp;D pipeline or commercial strategy in any quantifiable 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Arbutus Biopharma Q4 and Full Year 2025 Results — $14.1M revenue, $91.5M cash, $39.6M annual burn, 197.5M shares outstanding, February 2026</w:t>
      </w:r>
    </w:p>
    <w:p>
      <w:pPr>
        <w:spacing w:before="20" w:after="20"/>
        <w:ind w:left="170"/>
      </w:pPr>
      <w:r>
        <w:rPr>
          <w:rFonts w:ascii="Calibri" w:hAnsi="Calibri"/>
          <w:b/>
          <w:color w:val="4A6B25"/>
          <w:sz w:val="15"/>
        </w:rPr>
        <w:t xml:space="preserve">2. </w:t>
      </w:r>
      <w:r>
        <w:rPr>
          <w:rFonts w:ascii="Calibri" w:hAnsi="Calibri"/>
          <w:b w:val="0"/>
          <w:color w:val="3A4A28"/>
          <w:sz w:val="17"/>
        </w:rPr>
        <w:t>Arbutus Biopharma / Moderna $2.25B Global LNP Patent Settlement — $950M noncontingent (July 2026), $1.3B contingent (Section 1498), Arbutus 20% share plus 16% Genevant ownership, March 2026</w:t>
      </w:r>
    </w:p>
    <w:p>
      <w:pPr>
        <w:spacing w:before="20" w:after="20"/>
        <w:ind w:left="170"/>
      </w:pPr>
      <w:r>
        <w:rPr>
          <w:rFonts w:ascii="Calibri" w:hAnsi="Calibri"/>
          <w:b/>
          <w:color w:val="4A6B25"/>
          <w:sz w:val="15"/>
        </w:rPr>
        <w:t xml:space="preserve">3. </w:t>
      </w:r>
      <w:r>
        <w:rPr>
          <w:rFonts w:ascii="Calibri" w:hAnsi="Calibri"/>
          <w:b w:val="0"/>
          <w:color w:val="3A4A28"/>
          <w:sz w:val="17"/>
        </w:rPr>
        <w:t>Arbutus Receives U.S. FDA Fast Track Designation for Imdusiran — 10 functional cures in Phase 2a chronic HBV, April 2026</w:t>
      </w:r>
    </w:p>
    <w:p>
      <w:pPr>
        <w:spacing w:before="20" w:after="20"/>
        <w:ind w:left="170"/>
      </w:pPr>
      <w:r>
        <w:rPr>
          <w:rFonts w:ascii="Calibri" w:hAnsi="Calibri"/>
          <w:b/>
          <w:color w:val="4A6B25"/>
          <w:sz w:val="15"/>
        </w:rPr>
        <w:t xml:space="preserve">4. </w:t>
      </w:r>
      <w:r>
        <w:rPr>
          <w:rFonts w:ascii="Calibri" w:hAnsi="Calibri"/>
          <w:b w:val="0"/>
          <w:color w:val="3A4A28"/>
          <w:sz w:val="17"/>
        </w:rPr>
        <w:t>Arbutus Biopharma Board and CEO Overhaul — Lindsay Androski appointed CEO, complete leadership reconstitution, February 2025</w:t>
      </w:r>
    </w:p>
    <w:p>
      <w:pPr>
        <w:spacing w:before="20" w:after="20"/>
        <w:ind w:left="170"/>
      </w:pPr>
      <w:r>
        <w:rPr>
          <w:rFonts w:ascii="Calibri" w:hAnsi="Calibri"/>
          <w:b/>
          <w:color w:val="4A6B25"/>
          <w:sz w:val="15"/>
        </w:rPr>
        <w:t xml:space="preserve">5. </w:t>
      </w:r>
      <w:r>
        <w:rPr>
          <w:rFonts w:ascii="Calibri" w:hAnsi="Calibri"/>
          <w:b w:val="0"/>
          <w:color w:val="3A4A28"/>
          <w:sz w:val="17"/>
        </w:rPr>
        <w:t>Arbutus Biopharma Q1 2026 Results — $179.1M revenue, $169.7M net income from Moderna settlement recognition,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