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ACDC</w:t>
      </w:r>
      <w:r>
        <w:rPr>
          <w:rFonts w:ascii="Calibri" w:hAnsi="Calibri"/>
          <w:b/>
          <w:color w:val="1A2010"/>
          <w:sz w:val="40"/>
        </w:rPr>
        <w:t xml:space="preserve">  ProFrac Holding Corp.</w:t>
      </w:r>
    </w:p>
    <w:p>
      <w:pPr>
        <w:spacing w:after="120"/>
      </w:pPr>
      <w:r>
        <w:rPr>
          <w:rFonts w:ascii="Calibri" w:hAnsi="Calibri"/>
          <w:b/>
          <w:color w:val="6E8450"/>
          <w:sz w:val="18"/>
        </w:rPr>
        <w:t>GROWTH SLEEVE · 2026-08-03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NASDAQ · United States</w:t>
      </w:r>
    </w:p>
    <w:p>
      <w:pPr>
        <w:spacing w:after="80"/>
      </w:pPr>
      <w:r>
        <w:rPr>
          <w:rFonts w:ascii="Calibri" w:hAnsi="Calibri"/>
          <w:b w:val="0"/>
          <w:color w:val="3A4A28"/>
          <w:sz w:val="20"/>
        </w:rPr>
        <w:t>ProFrac Holding Corp. operates as a vertically integrated energy services company providing hydraulic fracturing, proppant production, well stimulation, equipment manufacturing, and specialty chemistry services to upstream oil and gas companies in the United States. The company operates through Stimulation Services, Proppant Production, Manufacturing, and Flotek Industries segments. Founded by the Wilks family in 2016, ProFrac has grown through acquisitions including FTSI, U.S. Well Services, Performance Proppants, and Flotek Industries.</w:t>
      </w:r>
    </w:p>
    <w:p>
      <w:r>
        <w:rPr>
          <w:rFonts w:ascii="Calibri" w:hAnsi="Calibri"/>
          <w:b/>
          <w:color w:val="6E8450"/>
          <w:sz w:val="18"/>
        </w:rPr>
        <w:t>2,280 Employees · https://www.pfholdingscorp.com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ProFrac has built a vertically integrated model through aggressive acquisitions (FTSI electric frac fleets, Flotek specialty chemistry, multiple proppant assets) and fleet modernization toward electric and dual-fuel frac technology [1][3]. However, revenue has declined from $2.63B (2023) to LTM $1.79B — a 32% drop — indicating the acquisition-driven expansion has not successfully driven growth or market share gains [1][2]. AI Deployment (0/2): No evidence of AI-powered products or quantified AI-driven cost savings in ProFrac's operations [3]. Market Share (1/2): ProFrac is a meaningful player in North American pressure pumping with Q1 2026 showing revenue growth in all operating segments. Active fleet count has stabilized and grown from the Q4 2024 trough. However, the company remains behind Halliburton and Liberty Energy in scale and market share [1]. Pipeline (1/2): Investment in next-generation electric frac fleets and exploration of geothermal applications provide some forward pipeline, but specific product launches with revenue timelines are lacking [3]. R&amp;D Intensity (1/1): ProFrac invests in custom-built electric frac fleets, dual-fuel conversion technology, and Flotek's chemistry optimization capabilities, above average for oilfield services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ProFrac's stated purpose centers on putting 'people with real field experience in charge of building the next generation of frac services' — practical and identifies the company's approach but generic and interchangeable with any oilfield services peer [3]. No distinctive vision beyond operational excellence in completions. Community Impact (0/2): No evidence of charitable programs, foundation activities, or community investment initiatives beyond standard operations [4]. Employee Retention (0/2): Glassdoor shows a 2.9/5 rating (21% below the Energy industry average of 3.7), with only 42% positive business outlook [3]. Employee reviews cite mandatory overtime, unrealistic expectations, and lack of direction — indicators of a high-turnover, low-trust environment for an oilfield services company. Insider Buying (2/2): Meaningful insider conviction — Farris Wilks purchased $10M of ACDC stock at $4.00/share in August 2025, and Matt Wilks bought $165K in September 2025 [5]. The Wilks family maintains substantial equity ownership through the dual-class share structure, demonstrating skin-in-the-game alignment.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154.87% is elevated and well above the peer average of 67.53%, scoring 0.63 against the 300% floor [1][2]. ROE of -44.10% is deeply negative, reflecting the $440M TTM net loss (scores 0 at 2x weight) [1]. Q1 2026 revenue of $450M grew 3% YoY from $437M with all segments contributing growth — the first positive quarterly YoY comparison in several quarters — but adjusted EBITDA margin of 11.9% was compressed by weather disruptions (scores 0.77) [1]. Revenue 5yr CAGR is approximately -11% (2022's $2.88B to LTM $1.79B over 4 years), well below the -5% floor (scores 0 at 2x weight). Profit margin of -24.6% is deeply negative (scores 0) [1]. Forward P/E excluded due to negative projected earnings (-$1.41 EPS consensus for 2026) [6]. Liquidity: ~1.42M avg daily volume x $5.15 = $7.3M,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ProFrac exhibits predominantly finite-game characteristics. The Wilks family maintains tight control through a dual-class share structure that prioritizes family ownership over broader stakeholder interests. The growth-by-acquisition strategy (FTSI, Flotek, multiple proppant assets) has accumulated scale but produced a 32% revenue decline and massive net losses, suggesting the strategy prioritized market share capture over building enduring competitive advantage. However, the Wilks family's significant insider buying at depressed prices signals long-term conviction, and the vertical integration vision — if executed — could create structural differentiation.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ProFrac's purpose of putting experienced operators in charge of next-generation frac services is operational rather than aspirational [3]. It describes how the company operates, not a vision of a better future worth sacrificing for. The Wilks family's dual-class share structure and insider control suggest the company exists primarily to serve ownership interests. No evidence that strategic decisions reference a purpose beyond growth and profitability.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sentiment is weak. Glassdoor rates ProFrac at 2.9/5 — 21% below the Energy industry average of 3.7 — with only 42% positive business outlook [3]. Indeed reviews cite mandatory overtime, lack of direction, and unrealistic expectations. The oilfield services industry has inherently high turnover, and ProFrac does not differentiate itself on culture. Family control of the board may limit empowerment and career advancement for non-family executives.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ProFrac's competitive language positions itself against Halliburton and Liberty through fleet modernization and vertical integration rather than learning from rivals' strengths [3]. The acquisition strategy (buying Flotek, proppant mines, competing fleets) is about accumulating competitive resources to win market share, not improving through competitive dynamics. No evidence of management acknowledging what competitors do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ProFrac has shown strategic flexibility by evolving from a pure pressure pumping company to a vertically integrated model encompassing stimulation, proppant production, manufacturing, and specialty chemistry (Flotek) [3]. The investment in electric frac technology and exploration of geothermal applications represent adaptation to energy transition dynamics. However, the core business model (serving E&amp;P operators for completions) remains unchanged, making this incremental evolution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Wilks family has invested heavily in fleet modernization and vertical integration during a severe industry downturn, with significant CapEx commitments despite ongoing net losses [1][2]. Farris Wilks' $10M insider stock purchase at $4.00/share during the downturn demonstrates personal conviction and willingness to bet personal capital on the company's future [5]. However, the $1.1B+ debt load and continued massive losses suggest some of these bets were forced by competitive necessity (fleet upgrades to remain competitive) rather than purely courageous strategic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ProFrac offers a deeply discounted entry into vertically integrated North American hydraulic fracturing at just $5.15/share — down 33% since April 2026 — with a founder family that has put $10M+ of personal capital into the stock at $4.00 [5]. Q1 2026 showed the first positive quarterly revenue inflection: $450M revenue, up 3% YoY with growth across all operating segments, and adjusted EBITDA of $54M at an 11.9% margin [1]. Management indicated new pricing initiatives will implement throughout Q2 2026, supporting profitability improvement in the back half of the year. The vertical integration model (stimulation + proppant + manufacturing + chemistry) provides structural cost advantages that should amplify operating leverage when completions activity recovers.</w:t>
      </w:r>
    </w:p>
    <w:p>
      <w:pPr>
        <w:spacing w:after="120"/>
      </w:pPr>
      <w:r>
        <w:rPr>
          <w:rFonts w:ascii="Calibri" w:hAnsi="Calibri"/>
          <w:b w:val="0"/>
          <w:color w:val="3A4A28"/>
          <w:sz w:val="20"/>
        </w:rPr>
        <w:t>The bear case remains severe. ProFrac has posted a TTM net loss of $440M on $1.79B revenue (down 19% YoY), with -44.10% ROE and D/E of 154.87% — significantly above the peer average of 67.53% [1][2]. Analysts project continued losses of -$1.41 EPS in 2026 with a consensus Strong Sell rating and $5-6 price target [6]. The $1.1B+ debt load against thin liquidity creates meaningful refinancing risk, particularly if the completions recovery stalls. Q1 2026's 11.9% adjusted EBITDA margin was depressed by weather but remains far below the levels needed for profitability. The dual-class share structure concentrates power with the Wilks family, limiting minority shareholder influence. ProFrac operates in a cyclical, commoditized industry where pricing power is limited and recovery timing depends entirely on oil prices and E&amp;P capital discipline beyond management's control.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revenue inflection — first positive YoY quarterly growth (3%) with all segments contributing, combined with new pricing initiatives implementing in Q2 that should improve margins in H2 2026</w:t>
      </w:r>
    </w:p>
    <w:p>
      <w:pPr>
        <w:spacing w:before="40" w:after="40"/>
        <w:ind w:left="283"/>
      </w:pPr>
      <w:r>
        <w:rPr>
          <w:rFonts w:ascii="Calibri" w:hAnsi="Calibri"/>
          <w:b/>
          <w:color w:val="4A6B25"/>
          <w:sz w:val="20"/>
        </w:rPr>
        <w:t xml:space="preserve">2. </w:t>
      </w:r>
      <w:r>
        <w:rPr>
          <w:rFonts w:ascii="Calibri" w:hAnsi="Calibri"/>
          <w:b w:val="0"/>
          <w:color w:val="3A4A28"/>
          <w:sz w:val="20"/>
        </w:rPr>
        <w:t>Electric frac fleet commercialization and geothermal application development creating differentiated revenue streams beyond traditional oil and gas completions</w:t>
      </w:r>
    </w:p>
    <w:p>
      <w:pPr>
        <w:spacing w:before="40" w:after="40"/>
        <w:ind w:left="283"/>
      </w:pPr>
      <w:r>
        <w:rPr>
          <w:rFonts w:ascii="Calibri" w:hAnsi="Calibri"/>
          <w:b/>
          <w:color w:val="4A6B25"/>
          <w:sz w:val="20"/>
        </w:rPr>
        <w:t xml:space="preserve">3. </w:t>
      </w:r>
      <w:r>
        <w:rPr>
          <w:rFonts w:ascii="Calibri" w:hAnsi="Calibri"/>
          <w:b w:val="0"/>
          <w:color w:val="3A4A28"/>
          <w:sz w:val="20"/>
        </w:rPr>
        <w:t>Wilks family's $10M+ insider buying at $4.00/share provides downside floor psychology and signals conviction that the vertical integration thesis will ultimately deliver shareholder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oil price weakness below $60/bbl would further reduce E&amp;P completion spending, extending ProFrac's revenue decline and $440M annual loss run-rate beyond current projections</w:t>
      </w:r>
    </w:p>
    <w:p>
      <w:pPr>
        <w:spacing w:before="40" w:after="40"/>
        <w:ind w:left="283"/>
      </w:pPr>
      <w:r>
        <w:rPr>
          <w:rFonts w:ascii="Calibri" w:hAnsi="Calibri"/>
          <w:b/>
          <w:color w:val="4A6B25"/>
          <w:sz w:val="20"/>
        </w:rPr>
        <w:t xml:space="preserve">2. </w:t>
      </w:r>
      <w:r>
        <w:rPr>
          <w:rFonts w:ascii="Calibri" w:hAnsi="Calibri"/>
          <w:b w:val="0"/>
          <w:color w:val="3A4A28"/>
          <w:sz w:val="20"/>
        </w:rPr>
        <w:t>Refinancing risk on $1.1B+ debt with thin liquidity and continued net losses — credit markets may demand punitive terms or equity dilution if oilfield conditions do not materially improve in 2026-2027</w:t>
      </w:r>
    </w:p>
    <w:p>
      <w:pPr>
        <w:spacing w:before="40" w:after="40"/>
        <w:ind w:left="283"/>
      </w:pPr>
      <w:r>
        <w:rPr>
          <w:rFonts w:ascii="Calibri" w:hAnsi="Calibri"/>
          <w:b/>
          <w:color w:val="4A6B25"/>
          <w:sz w:val="20"/>
        </w:rPr>
        <w:t xml:space="preserve">3. </w:t>
      </w:r>
      <w:r>
        <w:rPr>
          <w:rFonts w:ascii="Calibri" w:hAnsi="Calibri"/>
          <w:b w:val="0"/>
          <w:color w:val="3A4A28"/>
          <w:sz w:val="20"/>
        </w:rPr>
        <w:t>Analyst consensus Strong Sell with $5-6 price target reflects deep institutional skepticism; the dual-class share structure, family control, and -44% ROE may prevent the stock from attracting institutional capital even if fundamentals improve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ProFrac's core business — hydraulic fracturing, proppant mining and production, and heavy equipment manufacturing — is inherently physical-world and structurally immune to AI displacement [1][3]. Pressure pumping requires deploying thousands of horsepower of pumping equipment at well sites, trained crews operating in harsh field conditions, and real-time adjustment of pumping parameters during operations. Sand mining, processing, and logistics are entirely physical operations. No analyst has identified AI as a substitution risk for pressure pumping services; AI-driven optimization of drilling and completions could actually increase demand for more efficient frac services as operators complete more wells per dollar spent [3]. AI Opportunity (0/1): ProFrac does not generate revenue from AI products or services. While the company uses some data analytics in field operations, there is no quantifiable AI revenue contribution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ProFrac Holding Corp. Q1 2026 Earnings Release and Earnings Call Transcript — SEC 8-K, Globe and Mail, Motley Fool, Investing.com, May 2026</w:t>
      </w:r>
    </w:p>
    <w:p>
      <w:pPr>
        <w:spacing w:before="20" w:after="20"/>
        <w:ind w:left="170"/>
      </w:pPr>
      <w:r>
        <w:rPr>
          <w:rFonts w:ascii="Calibri" w:hAnsi="Calibri"/>
          <w:b/>
          <w:color w:val="4A6B25"/>
          <w:sz w:val="15"/>
        </w:rPr>
        <w:t xml:space="preserve">2. </w:t>
      </w:r>
      <w:r>
        <w:rPr>
          <w:rFonts w:ascii="Calibri" w:hAnsi="Calibri"/>
          <w:b w:val="0"/>
          <w:color w:val="3A4A28"/>
          <w:sz w:val="17"/>
        </w:rPr>
        <w:t>ProFrac Holding Corp. Financial Statistics — StockAnalysis, Revenue History, D/E 154.87%, ROE -44.10%,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ProFrac Corporate Website — Leadership, Technology, Electric Frac, Glassdoor Reviews,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ProFrac ESG and Sustainability — No specific ESG controversies identified,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SEC Form 4 Insider Transactions — Farris Wilks $10M Purchase Aug 2025 at $4.00/share, Matt Wilks $165K Purchase Sep 2025</w:t>
      </w:r>
    </w:p>
    <w:p>
      <w:pPr>
        <w:spacing w:before="20" w:after="20"/>
        <w:ind w:left="170"/>
      </w:pPr>
      <w:r>
        <w:rPr>
          <w:rFonts w:ascii="Calibri" w:hAnsi="Calibri"/>
          <w:b/>
          <w:color w:val="4A6B25"/>
          <w:sz w:val="15"/>
        </w:rPr>
        <w:t xml:space="preserve">6. </w:t>
      </w:r>
      <w:r>
        <w:rPr>
          <w:rFonts w:ascii="Calibri" w:hAnsi="Calibri"/>
          <w:b w:val="0"/>
          <w:color w:val="3A4A28"/>
          <w:sz w:val="17"/>
        </w:rPr>
        <w:t>Analyst Estimates — WallStreetZen $6.00 Target, eToro $5.00 Target, Consensus Strong Sell, EPS -$1.41 for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