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ACGL</w:t>
      </w:r>
      <w:r>
        <w:rPr>
          <w:rFonts w:ascii="Calibri" w:hAnsi="Calibri"/>
          <w:b/>
          <w:color w:val="1A2010"/>
          <w:sz w:val="40"/>
        </w:rPr>
        <w:t xml:space="preserve">  Arch Capital Group Ltd.</w:t>
      </w:r>
    </w:p>
    <w:p>
      <w:pPr>
        <w:spacing w:after="120"/>
      </w:pPr>
      <w:r>
        <w:rPr>
          <w:rFonts w:ascii="Calibri" w:hAnsi="Calibri"/>
          <w:b/>
          <w:color w:val="6E8450"/>
          <w:sz w:val="18"/>
        </w:rPr>
        <w:t>GROWTH SLEEVE · 2026-07-19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NASDAQ · Bermuda</w:t>
      </w:r>
    </w:p>
    <w:p>
      <w:pPr>
        <w:spacing w:after="80"/>
      </w:pPr>
      <w:r>
        <w:rPr>
          <w:rFonts w:ascii="Calibri" w:hAnsi="Calibri"/>
          <w:b w:val="0"/>
          <w:color w:val="3A4A28"/>
          <w:sz w:val="20"/>
        </w:rPr>
        <w:t>Arch Capital Group is a Bermuda-based specialty insurance, reinsurance, and mortgage insurance company operating through three segments: Insurance (commercial auto, casualty, property, specialty), Reinsurance (casualty, property catastrophe, marine/aviation), and Mortgage (U.S. primary MI, credit-risk transfer, international). Founded in 1995, Arch serves customers globally through independent brokers.</w:t>
      </w:r>
    </w:p>
    <w:p>
      <w:r>
        <w:rPr>
          <w:rFonts w:ascii="Calibri" w:hAnsi="Calibri"/>
          <w:b/>
          <w:color w:val="6E8450"/>
          <w:sz w:val="18"/>
        </w:rPr>
        <w:t>8,000 Employees · https://www.archgroup.com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Arch Capital continues compounding as a diversified specialty insurer, with TTM revenue of $19.78B and a 21.5% 5-year revenue CAGR driven by hard-market premium expansion and mortgage insurance growth [1]. Q1 2026 net income of $1.0B ($2.88/share) roughly doubled the prior-year quarter's $564M ($1.48/share), though analysts expect Q2 2026 EPS to decline ~5% YoY as the underwriting cycle normalizes. AI Deployment (1/2): Arch's board and leadership continue to cite AI expertise (including the prior hire of a former G42 Head of Industrial and Financial AI as Chief Investment Risk Officer), but no quantified AI-driven savings or customer-facing AI product has been disclosed [2]. Market Share (1/2): Arch remains a top-tier specialty insurer but not a clear category leader against AIG, Chubb, or Berkshire. Pipeline (1/2): On June 3, 2026, Arch moved to a single-president model, expanding Maamoun Rajeh's oversight to all three segments (Insurance, Reinsurance, Mortgage) under CEO Papadopoulo, a structural bet on unified data-driven underwriting execution, though cycle-softening risk clouds forward visibility [2]. R&amp;D Intensity (1/1): Above-average investment in analytics, quantitative strategies, and underwriting technology relative to insurance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Arch states it 'continually pursues innovation and improvement' and believes 'every product or process can be improved,' which reflects an operational excellence culture but does not articulate a deeper purpose beyond serving shareholders and clients [2]. Community Impact (1/2): Arch's sustainability program identifies five impact areas (Business, Operations, Investments, People, Communities), publishes annual TCFD-aligned sustainability reports, and maintains an underwriting policy restricting new thermal coal exposure, demonstrating real if unremarkable corporate commitment [3]. Employee Retention (2/2): Glassdoor rating of 4.3/5 with 84% of employees recommending the company and culture rated 4.3/5 — significantly above industry average, with employees describing accessible, collaborative leadership [2]. Insider Buying (1/2): Director Daniel Houston made an open-market purchase of 5,300 shares (~$499K) on April 30, 2026, but this was offset by two directors' share sales in the same window, making net insider activity roughly neutral rather than a strong buy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weights). D/E of 11% ($debt against a large equity base) scores the full 1.0, as does ROE of 21.3% (2x weight), TTM revenue growth of 8.83% (0.96), 5-year revenue CAGR of 21.5% (2x weight, capped 1.0), Forward P/E of 10.87x (1.0), and profit margin of 24.6% (1.0) — Arch remains exceptionally well-capitalized and profitable [1][4]. The one weak spot is Forward PEG, which jumped to 5.05x (2x weight, scoring 0) as analysts revised near-term EPS growth expectations down sharply — consensus sees Q2 2026 EPS declining ~5% YoY as hard-market pricing normalizes, which is the single factor pulling Infrastructure down from a near-perfect score [1][4]. Liquidity floor easily cleared: 2.0M avg volume x $101.35 = ~$202.8M.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Arch Capital demonstrates strong infinite game characteristics through its 30+ year history of disciplined underwriting through insurance cycles, orderly leadership transitions, and a culture that earns 4.3/5 from employees. The company's willingness to reduce premiums when pricing is inadequate rather than chase volume reflects long-term thinking. However, the lack of a distinctive Just Cause beyond 'superior risk-adjusted returns' limits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purpose centers on disciplined underwriting excellence and innovation in risk management — genuine and consistently executed over 30 years, but fundamentally about financial performance rather than a vision of a better future [2]. The company's culture of 'continuous improvement' is lived out through cycle-after-cycle underwriting discipline but does not rise to the level of a transformative Just Cause. Score: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4.3/5 with 84% of employees recommending Arch, culture rated 4.3/5, and consistent commentary about accessible executives and supportive colleagues demonstrates a high-trust organization [2]. The orderly CEO transition from Grandisson to Papadopoulo without disruption confirms organizational stability. Score: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underwriting discipline is defined by learning from competitors' mistakes — when rivals underprice risk, Arch reduces volume rather than matching prices, using competitor behavior as a signal for its own strategy [1]. This is textbook infinite game competitor awareness.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expansion from specialty insurance into reinsurance and then mortgage insurance represents significant strategic evolution that diversified the business and created new profit pools [1]. The June 2026 move to a single-president operating model consolidating all three segments under one leader is a real structural change, but remains within the broader insurance umbrella rather than a transformative pivot.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 consistently demonstrates the courage to walk away from underpriced business — management has reduced premium volume multiple times when cycle pricing deteriorated rather than chasing growth, and analysts now expect Q2 2026 EPS to decline ~5% YoY as the company lets hard-market pricing normalize rather than chase unprofitable volume [1]. This is a hallmark of long-term thinking in insurance, though it aligns with financial self-interest (avoiding bad risk) rather than representing a costly principled stance.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 Capital remains an exceptionally well-run specialty insurer trading at 10.9x forward earnings despite delivering 21.3% ROE, 24.6% profit margins, and $4.83B TTM net income on $19.78B revenue [1][4]. Q1 2026 net income of $1.0B ($2.88/share) roughly doubled the prior-year quarter, and the June 2026 move to a single-president operating model under Maamoun Rajeh (reporting to CEO Papadopoulo) consolidates Insurance, Reinsurance, and Mortgage under unified, data-driven underwriting leadership [1][2]. Revenue has compounded at 21.5% over 5 years, D/E remains low at 11%, and industry-leading 4.3/5 Glassdoor culture ratings suggest organizational durability. Arch continues investing in AI-informed quantitative strategies for underwriting and risk modeling.</w:t>
      </w:r>
    </w:p>
    <w:p>
      <w:pPr>
        <w:spacing w:after="120"/>
      </w:pPr>
      <w:r>
        <w:rPr>
          <w:rFonts w:ascii="Calibri" w:hAnsi="Calibri"/>
          <w:b w:val="0"/>
          <w:color w:val="3A4A28"/>
          <w:sz w:val="20"/>
        </w:rPr>
        <w:t>The bear case centers on insurance cycle normalization. Analysts now expect Q2 2026 EPS to decline roughly 5% YoY as hard-market pricing softens, and Forward PEG has jumped to 5.05x from a much cheaper 1.05x a year ago as expected near-term earnings growth has been revised sharply lower — this is the single largest driver of the Infrastructure score declining from 10 to 8 this quarter [1][4]. Catastrophe losses remain inherently unpredictable, and the mortgage insurance segment is sensitive to housing market and mortgage-rate dynamics. TTM revenue growth of 8.83% is well below the 5-year CAGR of 21.5%, confirming deceleration. Arch pays no dividend, returning capital primarily through buybacks (3.09% yield), which offers less downside protection in a soft market. The Bermuda domicile, while tax-efficient, creates regulatory complexity and potential reputational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the single-president operating model (Rajeh overseeing all three segments) driving underwriting consistency and expense efficiency [2]</w:t>
      </w:r>
    </w:p>
    <w:p>
      <w:pPr>
        <w:spacing w:before="40" w:after="40"/>
        <w:ind w:left="283"/>
      </w:pPr>
      <w:r>
        <w:rPr>
          <w:rFonts w:ascii="Calibri" w:hAnsi="Calibri"/>
          <w:b/>
          <w:color w:val="4A6B25"/>
          <w:sz w:val="20"/>
        </w:rPr>
        <w:t xml:space="preserve">2. </w:t>
      </w:r>
      <w:r>
        <w:rPr>
          <w:rFonts w:ascii="Calibri" w:hAnsi="Calibri"/>
          <w:b w:val="0"/>
          <w:color w:val="3A4A28"/>
          <w:sz w:val="20"/>
        </w:rPr>
        <w:t>Continued AI-informed quantitative underwriting and risk-modeling deployment improving pricing accuracy and loss selection across segments [2]</w:t>
      </w:r>
    </w:p>
    <w:p>
      <w:pPr>
        <w:spacing w:before="40" w:after="40"/>
        <w:ind w:left="283"/>
      </w:pPr>
      <w:r>
        <w:rPr>
          <w:rFonts w:ascii="Calibri" w:hAnsi="Calibri"/>
          <w:b/>
          <w:color w:val="4A6B25"/>
          <w:sz w:val="20"/>
        </w:rPr>
        <w:t xml:space="preserve">3. </w:t>
      </w:r>
      <w:r>
        <w:rPr>
          <w:rFonts w:ascii="Calibri" w:hAnsi="Calibri"/>
          <w:b w:val="0"/>
          <w:color w:val="3A4A28"/>
          <w:sz w:val="20"/>
        </w:rPr>
        <w:t>Mortgage insurance segment benefiting from housing market stabilization and credit-risk transfer demand from Fannie Mae/Freddie Mac, providing counter-cyclical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cycle softening — consensus estimates now call for Q2 2026 EPS to decline ~5% YoY, and Forward PEG has spiked to 5.05x as the market prices in decelerating earnings growth [1][4]</w:t>
      </w:r>
    </w:p>
    <w:p>
      <w:pPr>
        <w:spacing w:before="40" w:after="40"/>
        <w:ind w:left="283"/>
      </w:pPr>
      <w:r>
        <w:rPr>
          <w:rFonts w:ascii="Calibri" w:hAnsi="Calibri"/>
          <w:b/>
          <w:color w:val="4A6B25"/>
          <w:sz w:val="20"/>
        </w:rPr>
        <w:t xml:space="preserve">2. </w:t>
      </w:r>
      <w:r>
        <w:rPr>
          <w:rFonts w:ascii="Calibri" w:hAnsi="Calibri"/>
          <w:b w:val="0"/>
          <w:color w:val="3A4A28"/>
          <w:sz w:val="20"/>
        </w:rPr>
        <w:t>Catastrophe exposure — Arch's property catastrophe reinsurance book creates tail risk from major natural disasters that could generate multi-billion dollar losses in a single quarter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 TTM growth of 8.83% is well below the 5-year 21.5% CAGR, and further softening could compress the multiple further if the hard market fully unwinds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and reinsurance underwriting is protected by deep regulatory barriers, actuarial expertise, capital requirements, and long-tail risk management that AI cannot easily replicate or displace [1]. However, AI-powered insurtechs are increasingly competing in commercial lines pricing, claims processing, and distribution, creating moderate pressure on portions of Arch's insurance segment. The mortgage insurance segment faces minimal AI disruption as it requires regulatory approvals and GSE (Fannie/Freddie) relationships that AI startups cannot obtain. AI Opportunity (1/1): Arch continues to deploy AI-informed quantitative strategies across underwriting and investment portfolios under leadership with direct AI industry experience, and the June 2026 single-president restructuring reinforces a unified, data-driven underwriting model across all three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 Capital Group Q1 FY2026 Results and Leadership Transition — SEC 8-K / ir.archgroup.com, 2026</w:t>
      </w:r>
    </w:p>
    <w:p>
      <w:pPr>
        <w:spacing w:before="20" w:after="20"/>
        <w:ind w:left="170"/>
      </w:pPr>
      <w:r>
        <w:rPr>
          <w:rFonts w:ascii="Calibri" w:hAnsi="Calibri"/>
          <w:b/>
          <w:color w:val="4A6B25"/>
          <w:sz w:val="15"/>
        </w:rPr>
        <w:t xml:space="preserve">2. </w:t>
      </w:r>
      <w:r>
        <w:rPr>
          <w:rFonts w:ascii="Calibri" w:hAnsi="Calibri"/>
          <w:b w:val="0"/>
          <w:color w:val="3A4A28"/>
          <w:sz w:val="17"/>
        </w:rPr>
        <w:t>Arch Capital Group Single-President Model Announcement (Maamoun Rajeh) — ir.archgroup.com, June 3, 2026</w:t>
      </w:r>
    </w:p>
    <w:p>
      <w:pPr>
        <w:spacing w:before="20" w:after="20"/>
        <w:ind w:left="170"/>
      </w:pPr>
      <w:r>
        <w:rPr>
          <w:rFonts w:ascii="Calibri" w:hAnsi="Calibri"/>
          <w:b/>
          <w:color w:val="4A6B25"/>
          <w:sz w:val="15"/>
        </w:rPr>
        <w:t xml:space="preserve">3. </w:t>
      </w:r>
      <w:r>
        <w:rPr>
          <w:rFonts w:ascii="Calibri" w:hAnsi="Calibri"/>
          <w:b w:val="0"/>
          <w:color w:val="3A4A28"/>
          <w:sz w:val="17"/>
        </w:rPr>
        <w:t>Arch Capital Group Sustainability Reports and Governance Disclosures — archgroup.com, DEF 14A, 2026</w:t>
      </w:r>
    </w:p>
    <w:p>
      <w:pPr>
        <w:spacing w:before="20" w:after="20"/>
        <w:ind w:left="170"/>
      </w:pPr>
      <w:r>
        <w:rPr>
          <w:rFonts w:ascii="Calibri" w:hAnsi="Calibri"/>
          <w:b/>
          <w:color w:val="4A6B25"/>
          <w:sz w:val="15"/>
        </w:rPr>
        <w:t xml:space="preserve">4. </w:t>
      </w:r>
      <w:r>
        <w:rPr>
          <w:rFonts w:ascii="Calibri" w:hAnsi="Calibri"/>
          <w:b w:val="0"/>
          <w:color w:val="3A4A28"/>
          <w:sz w:val="17"/>
        </w:rPr>
        <w:t>Arch Capital Group Form 4 Insider Trading Filings — StockTitan, GuruFocus, April-June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ACGL Financials and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