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ACRS</w:t>
      </w:r>
      <w:r>
        <w:rPr>
          <w:rFonts w:ascii="Calibri" w:hAnsi="Calibri"/>
          <w:b/>
          <w:color w:val="1A2010"/>
          <w:sz w:val="40"/>
        </w:rPr>
        <w:t xml:space="preserve">  Aclaris Therapeutics, Inc.</w:t>
      </w:r>
    </w:p>
    <w:p>
      <w:pPr>
        <w:spacing w:after="120"/>
      </w:pPr>
      <w:r>
        <w:rPr>
          <w:rFonts w:ascii="Calibri" w:hAnsi="Calibri"/>
          <w:b/>
          <w:color w:val="6E8450"/>
          <w:sz w:val="18"/>
        </w:rPr>
        <w:t>GROWTH SLEEVE · 2026-07-14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Aclaris Therapeutics, Inc. is a clinical-stage biopharmaceutical company focused on discovering and developing novel molecule product candidates for immuno-inflammatory diseases. The pipeline includes Bosakitug (anti-TSLP mAb, Phase 2), ATI-2138 (ITK/JAK3 dual inhibitor, Phase 2a), ATI-052 (anti-TSLP/anti-IL4R bispecific, Phase 1b), ATI-9494 (oral ITK/TXK inhibitor), and Lepzacitinib (soft JAK 1/3 inhibitor). Founded in 2012, headquartered in Wayne, Pennsylvania.</w:t>
      </w:r>
    </w:p>
    <w:p>
      <w:r>
        <w:rPr>
          <w:rFonts w:ascii="Calibri" w:hAnsi="Calibri"/>
          <w:b/>
          <w:color w:val="6E8450"/>
          <w:sz w:val="18"/>
        </w:rPr>
        <w:t>69 Employees · https://www.aclaristx.com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Aclaris pivoted from a dermatology aesthetics focus to a pipeline-stage immuno-inflammatory company built around a proprietary kinase small molecule discovery platform, representing a meaningful strategic transformation [4]. However, no marketed products have been launched and the pivot has not yet generated significant revenue. AI Deployment (0/2): No AI-related deployment or measurable AI-driven results identified. Market Share (0/2): Clinical-stage company with no marketed products and therefore no market share to evaluate. Product Pipeline (1/2): Multiple clinical candidates in development — Bosakitug (Phase 2 in atopic dermatitis, asthma, COPD), ATI-2138 (Phase 2a), ATI-052 (Phase 1b), and ATI-9494 (preclinical) — but all are early-stage with uncertain timelines to approval [1][4]. R&amp;D Intensity (1/1): As a clinical-stage biotech, virtually all operating expenditure is directed toward R&amp;D, placing the company well above industry average on this metric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Aclaris articulates a clear purpose of "developing novel, optimized therapies for immuno-inflammatory diseases" with a focus on addressing significant unmet medical needs [4]. The mission is specific to its therapeutic area but does not differentiate meaningfully from other clinical-stage biotechs. Community Impact (0/2): No evidence of charitable programs, community investment, or philanthropic initiatives found. Employee Retention (0/2): With only 69 employees and no publicly available retention or tenure data, this item cannot be scored. The company underwent a leadership transition in July 2025, naming Dr. Neal S. Walker as CEO [4].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Aclaris is a clinical-stage biotech with minimal revenue (.4M TTM) and significant operating losses (9.8M net loss in Q1 2026 alone) [1]. The balance sheet is the bright spot: D/E of only 1.4% reflects a clean, nearly debt-free capital structure, and the company holds 90.8M in cash and marketable securities as of March 31, 2026, providing runway through end of 2028 [1]. Revenue growth was 37.2% YoY but from a negligible base [3]. ROE is deeply negative at -48.4% reflecting ongoing losses, and profit margin is not meaningful for a company at this stage. Forward P/E and PEG are excluded from scoring as both are negative (expected losses). Infrastructure score of 4 reflects the strong balance sheet offset by the absence of profitability or meaningful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Aclaris is a clinical-stage biotech that pivoted from dermatology aesthetics to immuno-inflammatory diseases, showing some strategic flexibility. However, the company lacks a deeply articulated Just Cause beyond standard biotech drug development, underwent a CEO transition in 2025, and has not yet demonstrated the multi-decade consistency that Sinek associates with infinite-minded organizations. The small team and early stage limit evidence of trusting teams or worthy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Aclaris has a purpose centered on developing therapies for immuno-inflammatory diseases, but this reads as a standard biotech mission rather than a deeply felt Just Cause [4]. The mission does not articulate a vision of a future state that inspires sacrifice. Leadership references it in clinical development decisions, but the July 2025 CEO transition and strategic pivots suggest the purpose is still being defined rather than serving as an enduring North Star.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69 employees, Aclaris operates as a small, science-driven team where collaboration is likely inherent to the culture [4]. However, the July 2025 leadership transition from the founding CEO suggests some organizational turbulence. No specific evidence of psychological safety practices, employee empowerment, or trust-building initiatives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that Aclaris acknowledges competitors as worthy rivals whose strengths reveal their own weaknesses. The company operates in a competitive immuno-inflammatory space with larger players (Dupixent/Sanofi, Rinvoq/AbbVie) but does not publicly frame these competitors in the constructive manner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Aclaris demonstrated meaningful strategic flexibility by pivoting from its original dermatology aesthetics focus to an immuno-inflammatory pipeline built around a proprietary kinase discovery platform [4]. This was a significant strategic shift that redirected the company toward a larger addressable market. However, the pivot was partly driven by clinical setbacks rather than proactive Just Cause-driven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pivot from dermatology aesthetics to immuno-inflammatory diseases required courage — abandoning an established identity to pursue a higher-risk, higher-reward pipeline [4]. The company continues to invest heavily in R&amp;D despite consistent losses, maintaining focus on long-term clinical development. However, the recent leadership transition and the company's early stage make it difficult to fully evaluate leadership courage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Aclaris Therapeutics is a clinical-stage biotech with a clean balance sheet (90.8M cash, runway through 2028) and a diversified pipeline targeting immuno-inflammatory diseases including atopic dermatitis, asthma, and COPD [1]. Q1 2026 revenue of $2.0M beat estimates by 46% and the company posted a narrower-than-expected loss of $0.15 per share versus the $0.16 consensus [1]. The proprietary kinase discovery platform has generated multiple clinical candidates, with Bosakitug (anti-TSLP) in Phase 2 and ATI-2138 (ITK/JAK3 inhibitor) in Phase 2a representing potentially differentiated approaches to large immunology markets. The stock trades at a modest $768M market cap relative to its cash position and pipeline breadth.</w:t>
      </w:r>
    </w:p>
    <w:p>
      <w:pPr>
        <w:spacing w:after="120"/>
      </w:pPr>
      <w:r>
        <w:rPr>
          <w:rFonts w:ascii="Calibri" w:hAnsi="Calibri"/>
          <w:b w:val="0"/>
          <w:color w:val="3A4A28"/>
          <w:sz w:val="20"/>
        </w:rPr>
        <w:t>The core risk is binary clinical outcomes. Aclaris has no marketed products and generates only $8.4M in annual revenue from collaboration agreements, meaning the entire investment thesis rests on pipeline success [1][3]. The company is burning approximately $80M annually, and while the cash runway extends through 2028, failure in lead programs would likely result in significant equity value destruction. The competitive landscape is formidable — Dupixent (Sanofi/Regeneron) dominates atopic dermatitis with $13B+ in annual sales, and multiple JAK inhibitors are already approved. The July 2025 CEO transition adds execution risk during a critical clinical development period. With a $768M market cap, the stock prices in some pipeline optionality but offers limited margin of safety if clinical readouts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Bosakitug Phase 2 data readouts in atopic dermatitis and respiratory indications could provide clinical proof-of-concept for the anti-TSLP mechanism in a potentially differentiated approach</w:t>
      </w:r>
    </w:p>
    <w:p>
      <w:pPr>
        <w:spacing w:before="40" w:after="40"/>
        <w:ind w:left="283"/>
      </w:pPr>
      <w:r>
        <w:rPr>
          <w:rFonts w:ascii="Calibri" w:hAnsi="Calibri"/>
          <w:b/>
          <w:color w:val="4A6B25"/>
          <w:sz w:val="20"/>
        </w:rPr>
        <w:t xml:space="preserve">2. </w:t>
      </w:r>
      <w:r>
        <w:rPr>
          <w:rFonts w:ascii="Calibri" w:hAnsi="Calibri"/>
          <w:b w:val="0"/>
          <w:color w:val="3A4A28"/>
          <w:sz w:val="20"/>
        </w:rPr>
        <w:t>ATI-2138 Phase 2a data in T cell-mediated autoimmune diseases represents a novel ITK/JAK3 dual inhibition approach that could differentiate from approved JAK inhibitors</w:t>
      </w:r>
    </w:p>
    <w:p>
      <w:pPr>
        <w:spacing w:before="40" w:after="40"/>
        <w:ind w:left="283"/>
      </w:pPr>
      <w:r>
        <w:rPr>
          <w:rFonts w:ascii="Calibri" w:hAnsi="Calibri"/>
          <w:b/>
          <w:color w:val="4A6B25"/>
          <w:sz w:val="20"/>
        </w:rPr>
        <w:t xml:space="preserve">3. </w:t>
      </w:r>
      <w:r>
        <w:rPr>
          <w:rFonts w:ascii="Calibri" w:hAnsi="Calibri"/>
          <w:b w:val="0"/>
          <w:color w:val="3A4A28"/>
          <w:sz w:val="20"/>
        </w:rPr>
        <w:t>Cash position of $190.8M provides non-dilutive runway through 2028, allowing the company to advance multiple programs without immediate financing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all revenue-generating products are in early-to-mid-stage clinical trials, and a Phase 2 failure in Bosakitug or ATI-2138 could materially impair equity value</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in immunology is extreme, with Dupixent generating $13B+ annually and multiple JAK inhibitors (Rinvoq, Olumiant) already approved and gaining market share</w:t>
      </w:r>
    </w:p>
    <w:p>
      <w:pPr>
        <w:spacing w:before="40" w:after="40"/>
        <w:ind w:left="283"/>
      </w:pPr>
      <w:r>
        <w:rPr>
          <w:rFonts w:ascii="Calibri" w:hAnsi="Calibri"/>
          <w:b/>
          <w:color w:val="4A6B25"/>
          <w:sz w:val="20"/>
        </w:rPr>
        <w:t xml:space="preserve">3. </w:t>
      </w:r>
      <w:r>
        <w:rPr>
          <w:rFonts w:ascii="Calibri" w:hAnsi="Calibri"/>
          <w:b w:val="0"/>
          <w:color w:val="3A4A28"/>
          <w:sz w:val="20"/>
        </w:rPr>
        <w:t>CEO transition in July 2025 introduces execution risk at a critical stage, with new leadership needing to build credibility with investors while advancing clinical programs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Aclaris operates in clinical-stage biopharmaceutical development, a domain protected by substantial regulatory barriers (FDA approval processes, clinical trial requirements), biological complexity, and physical-world operations that AI cannot substitute [4]. Drug discovery and development requires wet-lab experimentation, patient enrollment in clinical trials, and regulatory submissions that are structurally immune to AI displacement. AI tools may accelerate certain aspects of drug discovery (target identification, molecular screening), but the core value creation — moving a molecule through clinical trials to approval — remains fundamentally human and regulatory-driven. AI Opportunity (0/1): Aclaris does not generate any revenue from AI products or services. The company has not disclosed use of AI in its drug discovery platform, though its proprietary kinase discovery platform could potentially incorporate computational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Aclaris Therapeutics Q1 FY2026 Financial Results Press Release, May 2026</w:t>
      </w:r>
    </w:p>
    <w:p>
      <w:pPr>
        <w:spacing w:before="20" w:after="20"/>
        <w:ind w:left="170"/>
      </w:pPr>
      <w:r>
        <w:rPr>
          <w:rFonts w:ascii="Calibri" w:hAnsi="Calibri"/>
          <w:b/>
          <w:color w:val="4A6B25"/>
          <w:sz w:val="15"/>
        </w:rPr>
        <w:t xml:space="preserve">2. </w:t>
      </w:r>
      <w:r>
        <w:rPr>
          <w:rFonts w:ascii="Calibri" w:hAnsi="Calibri"/>
          <w:b w:val="0"/>
          <w:color w:val="3A4A28"/>
          <w:sz w:val="17"/>
        </w:rPr>
        <w:t>Aclaris Therapeutics SEC Form 8-K (FY2026),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ACRS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Aclaris Therapeutics Company Website — Leadership, Pipeline, and Corporate Information,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