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ADMA</w:t>
      </w:r>
      <w:r>
        <w:rPr>
          <w:rFonts w:ascii="Calibri" w:hAnsi="Calibri"/>
          <w:b/>
          <w:color w:val="1A2010"/>
          <w:sz w:val="40"/>
        </w:rPr>
        <w:t xml:space="preserve">  ADMA Biologics, Inc.</w:t>
      </w:r>
    </w:p>
    <w:p>
      <w:pPr>
        <w:spacing w:after="120"/>
      </w:pPr>
      <w:r>
        <w:rPr>
          <w:rFonts w:ascii="Calibri" w:hAnsi="Calibri"/>
          <w:b/>
          <w:color w:val="6E8450"/>
          <w:sz w:val="18"/>
        </w:rPr>
        <w:t>GROWTH SLEEVE · 2026-07-08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ADMA Biologics is a commercial-stage biopharmaceutical company dedicated to manufacturing, marketing, and developing specialty plasma-derived biologics for immunodeficient patients. Its flagship products ASCENIV and BIVIGAM are intravenous immunoglobulin (IVIG) therapies for primary humoral immunodeficiency, and Nabi-HB treats acute hepatitis B exposure. The company operates plasma collection centers and a manufacturing facility in Boca Raton, Florida. Founded in 2004 by CEO Adam Grossman.</w:t>
      </w:r>
    </w:p>
    <w:p>
      <w:r>
        <w:rPr>
          <w:rFonts w:ascii="Calibri" w:hAnsi="Calibri"/>
          <w:b/>
          <w:color w:val="6E8450"/>
          <w:sz w:val="18"/>
        </w:rPr>
        <w:t>679 Employees · https://www.admabiologics.com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ADMA has transformed from a cash-burning development-stage biotech to a highly profitable commercial-stage biopharmaceutical company, growing revenue from $42.2M in 2020 to $510M in 2025 — a 12x increase in five years powered by ASCENIV commercialization [1][2]. The yield-enhancement technology for plasma fractionation entered commercial execution in 2025, directly driving gross margin expansion to 71% in Q1 2026 [1]. AI Deployment (1/2): ADMA developed ADMAlytics, an AI-driven platform for reducing manufacturing variability and improving production forecasting, demonstrating tangible AI application in biomanufacturing operations [3]. No quantified revenue from AI products, but operational efficiency gains are measurable. Market Share (1/2): ASCENIV revenue grew 28% YoY in Q1 2026, gaining share in the $8B+ U.S. immunoglobulin market with differentiated clinical outcomes data [1]. However, Culper Research alleged channel stuffing and -3% real growth in 2025, and the securities class action raises questions about the sustainability of market share gains [5]. Product Pipeline (1/2): The company is developing anti-pneumococcal hyperimmune globulin products and expanding ASCENIV indications, with multi-year revenue targets, though Q1 2026 flat revenue raises pipeline execution questions [1]. R&amp;D Intensity (1/1): R&amp;D investment is appropriate for a specialty biopharmaceutical company with proprietary manufacturing processes and yield-enhancement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ADMA's mission to provide life-saving immunoglobulin therapies for immunodeficient patients who have limited treatment options reflects genuine intentionality [3]. Founder-CEO Adam Grossman has built the company around this purpose since 2004, spending nearly two decades enduring losses before reaching profitability in 2024. The focus on underserved immunodeficient populations differentiates from generic pharma. Community Impact (1/2): ADMA operates seven plasma collection centers serving local communities and produces life-saving therapies for patients with serious immune deficiencies, providing meaningful health impact [3]. No evidence of distinctive philanthropic programs or charitable foundations with specific dollar amounts. Employee Retention (0/2): Glassdoor rating of 2.8/5 with deeply concerning culture reviews. Employees describe 'toxic work culture full of bullies and unprofessional behavior starting from the top down,' with the CEO described as 'prone to outbursts, a complete control freak' who engages in 'screaming and yelling at employees so loud that the entire building can hear' [4]. Culture and values rated 3.1/5. This indicates a fear-based management environment. Insider Buying (0/2): No evidence of meaningful open-market insider buying by CEO Grossman or other executives in the trailing 12 months. The company executed a share buyback program in early 2026, but this is corporate capital allocation, not personal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Growth metrics — every available metric scores at or near maximum. D/E of 52% is well below the 70% target, reflecting significant balance sheet improvement as retained earnings accumulate from strong profitability [6]. ROE of 43.3% far exceeds the 15% target, demonstrating exceptional capital efficiency. Profit margin of 32.43% is well above the 20% threshold, driven by 71% gross margins on ASCENIV in Q1 2026 [1]. Revenue growth of 19.6% YoY (FY2025 $510M vs FY2024 $426M) exceeds the 10% target, and 5-year revenue CAGR of approximately 65% (from $42M in 2020 to $510M in 2025) is extraordinary [2]. Forward P/E of 10.84 is well below the 20 target, and Forward PEG of 0.36 is deeply below the 1.0 target, reflecting deep value pricing amid the Culper Research controversy [5][6]. Free cash flow of $107.9M confirms real cash generation. Liquidity cleared: 3.82M avg volume x $9.21 = $35.2M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ADMA demonstrates a mixed infinite game profile. CEO Adam Grossman's 20+ year persistence in building a plasma biologics company from concept to $510M revenue reflects genuine long-term commitment to the immunodeficient patient cause. However, the Glassdoor-documented toxic culture — with CEO outbursts, fear-based management, and employee complaints of bullying — fundamentally undermines the trusting teams foundation that Sinek considers essential. The Culper Research allegations and class action lawsuit further cloud the leadership integrity picture.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ADMA has a genuine cause — providing life-saving immunoglobulin therapies to immunodeficient patients who have limited treatment options. Founder-CEO Grossman has pursued this cause for over 20 years, enduring years of losses before reaching profitability in 2024 [1]. The focus on underserved patients with serious immune deficiencies connects the company's work to something bigger than revenue growth. However, the cause has not been tested through a leadership transition, and the toxic culture described on Glassdoor suggests the cause may not permeate the organization beyond the CEO's vision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2.8/5 with only 3.1/5 on culture and values reveals a low-trust environment [4]. Multiple employees describe a toxic culture with CEO outbursts, screaming, and fear-based management. Reviews cite 'bullies and unprofessional behavior starting from the top down' and a CEO who is 'a complete control freak.' This is antithetical to Sinek's Circle of Safety — employees are spending energy protecting themselves from leadership rather than advancing the mission. The 679-person organization likely experiences significant voluntary turnover.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trying to compete head-on with plasma giants CSL Behring, Grifols, and Takeda on volume, ADMA has differentiated ASCENIV through superior clinical outcomes data and targeted underserved patient populations [3]. Management acknowledges the strengths of larger competitors and uses competitive pressure to improve manufacturing efficiency and product quality. The company competes on capability improvement (yield enhancement, clinical differentiation) rather than market share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ADMA's evolution from a development-stage company dependent on licensing revenue to a vertically integrated manufacturer of proprietary IVIG products represents meaningful strategic evolution [1]. The divestiture of three plasma collection centers in 2025 while retaining seven demonstrates willingness to optimize the portfolio. However, the core business model of plasma-derived biologics has remained constant — these are incremental adaptations,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Adam Grossman spent nearly two decades building ADMA through years of losses, regulatory setbacks, and capital market skepticism — demonstrating personal commitment to the long-term vision [1]. The investment in yield-enhancement technology during financial vulnerability showed willingness to prioritize future capability over near-term profitability. However, the Culper Research allegations of channel stuffing and the resulting class action lawsuit raise serious questions about whether recent growth decisions prioritized short-term revenue appearances over long-term integrity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ADMA Biologics has completed a remarkable 12x revenue transformation from $42M (2020) to $510M (2025), demonstrating the commercial power of ASCENIV in the $8B+ U.S. immunoglobulin market. Q1 2026 showed resilience despite flat headline revenue — ASCENIV grew 28% YoY, gross margins expanded to 71%, adjusted net income grew 22% to $40.7M, and operating cash flow reached $58M [1]. At 10.84x forward earnings and a PEG of 0.36, the stock is deeply discounted relative to its fundamentals — ROE of 43.3%, profit margin of 32.4%, and free cash flow of $108M confirm the underlying business quality [6]. Management guided FY2026 revenue of $530-560M with adjusted net income of $170-200M and adjusted EBITDA of $265-300M, implying continued profitable growth even in a challenging competitive environment [1]. The yield-enhancement technology and McKesson Specialty distribution agreement provide structural growth levers.</w:t>
      </w:r>
    </w:p>
    <w:p>
      <w:pPr>
        <w:spacing w:after="120"/>
      </w:pPr>
      <w:r>
        <w:rPr>
          <w:rFonts w:ascii="Calibri" w:hAnsi="Calibri"/>
          <w:b w:val="0"/>
          <w:color w:val="3A4A28"/>
          <w:sz w:val="20"/>
        </w:rPr>
        <w:t>The bear case is significant and explains the 49.6% stock decline. In March 2026, Culper Research published a short report alleging channel stuffing, an undisclosed related party distributor, and -3% real growth in 2025, triggering a 29.1% two-day stock decline and a securities fraud class action lawsuit covering the period August 2024 through March 2026 [5]. Revenue guidance was revised sharply downward from the initial $635M/$255M targets to $530-560M/$170-200M, confirming at minimum a significant growth deceleration [1]. Glassdoor reviews (2.8/5) describe a toxic work culture with CEO outbursts and fear-based management, raising governance and human capital risks [4]. BIVIGAM revenue declined 54% YoY in Q1 2026, indicating product-line vulnerability. Product concentration remains a structural risk — substantially all revenue depends on two IVIG products in a single therapeutic area. Sustainalytics rates ADMA's ESG risk management as 'Weak,' which could limit institutional investor appetite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ASCENIV revenue growing 28% YoY in Q1 2026 despite overall market dislocation, with yield-enhancement technology supporting gross margin expansion to 71% and potential reacceleration as market normalizes [1]</w:t>
      </w:r>
    </w:p>
    <w:p>
      <w:pPr>
        <w:spacing w:before="40" w:after="40"/>
        <w:ind w:left="283"/>
      </w:pPr>
      <w:r>
        <w:rPr>
          <w:rFonts w:ascii="Calibri" w:hAnsi="Calibri"/>
          <w:b/>
          <w:color w:val="4A6B25"/>
          <w:sz w:val="20"/>
        </w:rPr>
        <w:t xml:space="preserve">2. </w:t>
      </w:r>
      <w:r>
        <w:rPr>
          <w:rFonts w:ascii="Calibri" w:hAnsi="Calibri"/>
          <w:b w:val="0"/>
          <w:color w:val="3A4A28"/>
          <w:sz w:val="20"/>
        </w:rPr>
        <w:t>Deep value opportunity at 10.84x forward earnings and 0.36 PEG ratio — if the Culper Research allegations prove unfounded and growth reaccelerates, the stock has significant upside from the $9.21 level [6]</w:t>
      </w:r>
    </w:p>
    <w:p>
      <w:pPr>
        <w:spacing w:before="40" w:after="40"/>
        <w:ind w:left="283"/>
      </w:pPr>
      <w:r>
        <w:rPr>
          <w:rFonts w:ascii="Calibri" w:hAnsi="Calibri"/>
          <w:b/>
          <w:color w:val="4A6B25"/>
          <w:sz w:val="20"/>
        </w:rPr>
        <w:t xml:space="preserve">3. </w:t>
      </w:r>
      <w:r>
        <w:rPr>
          <w:rFonts w:ascii="Calibri" w:hAnsi="Calibri"/>
          <w:b w:val="0"/>
          <w:color w:val="3A4A28"/>
          <w:sz w:val="20"/>
        </w:rPr>
        <w:t>Multi-year revenue trajectory supported by McKesson Specialty distribution expansion, potential ASCENIV expanded indications, and anti-pneumococcal hyperimmune pipeline development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channel stuffing, undisclosed related party distributor, and misleading growth claims — if proven, could result in material financial penalties and further destroy investor confidence [5]</w:t>
      </w:r>
    </w:p>
    <w:p>
      <w:pPr>
        <w:spacing w:before="40" w:after="40"/>
        <w:ind w:left="283"/>
      </w:pPr>
      <w:r>
        <w:rPr>
          <w:rFonts w:ascii="Calibri" w:hAnsi="Calibri"/>
          <w:b/>
          <w:color w:val="4A6B25"/>
          <w:sz w:val="20"/>
        </w:rPr>
        <w:t xml:space="preserve">2. </w:t>
      </w:r>
      <w:r>
        <w:rPr>
          <w:rFonts w:ascii="Calibri" w:hAnsi="Calibri"/>
          <w:b w:val="0"/>
          <w:color w:val="3A4A28"/>
          <w:sz w:val="20"/>
        </w:rPr>
        <w:t>Toxic workplace culture documented in Glassdoor reviews (2.8/5) with CEO outbursts and fear-based management — creates human capital risk, potential regulatory attention, and leadership succession vulnerability in a founder-dependent organization [4]</w:t>
      </w:r>
    </w:p>
    <w:p>
      <w:pPr>
        <w:spacing w:before="40" w:after="40"/>
        <w:ind w:left="283"/>
      </w:pPr>
      <w:r>
        <w:rPr>
          <w:rFonts w:ascii="Calibri" w:hAnsi="Calibri"/>
          <w:b/>
          <w:color w:val="4A6B25"/>
          <w:sz w:val="20"/>
        </w:rPr>
        <w:t xml:space="preserve">3. </w:t>
      </w:r>
      <w:r>
        <w:rPr>
          <w:rFonts w:ascii="Calibri" w:hAnsi="Calibri"/>
          <w:b w:val="0"/>
          <w:color w:val="3A4A28"/>
          <w:sz w:val="20"/>
        </w:rPr>
        <w:t>Product concentration risk with substantially all revenue from ASCENIV and BIVIGAM in a single therapeutic area, combined with 54% BIVIGAM revenue decline in Q1 2026 demonstrating product-line fragility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Plasma-derived biologics manufacturing is a physical-world operation that AI structurally cannot displace. Collecting human plasma, fractionating it into immunoglobulin products, and navigating FDA regulatory requirements for biologics involve deeply regulated, capital-intensive processes with multi-year barriers to entry [3]. The immunoglobulin market faces chronic supply constraints — AI cannot manufacture human plasma. ASCENIV is differentiated by clinical outcomes data in actual patients, not by information processing that AI could replicate. The primary competitive threats are other plasma fractionators (CSL Behring, Grifols, Takeda), not AI tools. AI Opportunity (1/1): ADMA's proprietary ADMAlytics platform uses AI-driven process improvements to reduce manufacturing variability and improve production forecasting, demonstrating measurable AI value in biomanufacturing operations [3]. This directly supports the yield-enhancement program driving gross margin expansion to 71%.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ADMA Biologics Q1 2026 Earnings — Revenue $114.5M (Flat YoY), ASCENIV Up 28%, Adjusted NI $40.7M, Revised FY2026 Guidance $530-560M, May 2026</w:t>
      </w:r>
    </w:p>
    <w:p>
      <w:pPr>
        <w:spacing w:before="20" w:after="20"/>
        <w:ind w:left="170"/>
      </w:pPr>
      <w:r>
        <w:rPr>
          <w:rFonts w:ascii="Calibri" w:hAnsi="Calibri"/>
          <w:b/>
          <w:color w:val="4A6B25"/>
          <w:sz w:val="15"/>
        </w:rPr>
        <w:t xml:space="preserve">2. </w:t>
      </w:r>
      <w:r>
        <w:rPr>
          <w:rFonts w:ascii="Calibri" w:hAnsi="Calibri"/>
          <w:b w:val="0"/>
          <w:color w:val="3A4A28"/>
          <w:sz w:val="17"/>
        </w:rPr>
        <w:t>ADMA Biologics Annual Revenue History — $42M (2020) to $426M (2024) to ~$510M (2025), WallStreetZen/StockAnalysis</w:t>
      </w:r>
    </w:p>
    <w:p>
      <w:pPr>
        <w:spacing w:before="20" w:after="20"/>
        <w:ind w:left="170"/>
      </w:pPr>
      <w:r>
        <w:rPr>
          <w:rFonts w:ascii="Calibri" w:hAnsi="Calibri"/>
          <w:b/>
          <w:color w:val="4A6B25"/>
          <w:sz w:val="15"/>
        </w:rPr>
        <w:t xml:space="preserve">3. </w:t>
      </w:r>
      <w:r>
        <w:rPr>
          <w:rFonts w:ascii="Calibri" w:hAnsi="Calibri"/>
          <w:b w:val="0"/>
          <w:color w:val="3A4A28"/>
          <w:sz w:val="17"/>
        </w:rPr>
        <w:t>ADMA Biologics Corporate Website — Senior Leadership Team, ADMAlytics AI Platform, Mission and Product Portfolio,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ADMA Biologics Employee Reviews, Overall 2.8/5, Culture 3.1/5, 96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Culper Research Short Report and Class Action — Channel Stuffing Allegations, 29.1% Stock Decline, Securities Fraud Lawsuit Filed, March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ADMA Key Statistics and Financial Data,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Sustainalytics — ADMA Biologics ESG Risk Rating: Weak Management of Material ESG Risk</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