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ADNT</w:t>
      </w:r>
      <w:r>
        <w:rPr>
          <w:rFonts w:ascii="Calibri" w:hAnsi="Calibri"/>
          <w:b/>
          <w:color w:val="1A2010"/>
          <w:sz w:val="40"/>
        </w:rPr>
        <w:t xml:space="preserve">  Adient plc</w:t>
      </w:r>
    </w:p>
    <w:p>
      <w:pPr>
        <w:spacing w:after="120"/>
      </w:pPr>
      <w:r>
        <w:rPr>
          <w:rFonts w:ascii="Calibri" w:hAnsi="Calibri"/>
          <w:b/>
          <w:color w:val="6E8450"/>
          <w:sz w:val="18"/>
        </w:rPr>
        <w:t>GROWTH SLEEVE · 2026-08-07 · Inspire: 64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Parts · NYSE · Ireland</w:t>
      </w:r>
    </w:p>
    <w:p>
      <w:pPr>
        <w:spacing w:after="80"/>
      </w:pPr>
      <w:r>
        <w:rPr>
          <w:rFonts w:ascii="Calibri" w:hAnsi="Calibri"/>
          <w:b w:val="0"/>
          <w:color w:val="3A4A28"/>
          <w:sz w:val="20"/>
        </w:rPr>
        <w:t>Adient is the world's largest automotive seating supplier, designing, developing, manufacturing, and marketing complete seating systems, seat mechanisms, frames, foams, head restraints, armrests, and trim covers for passenger cars, commercial vehicles, and light trucks. Spun off from Johnson Controls in 2016, the Ireland-domiciled, Michigan-operated company runs approximately 200 manufacturing facilities across roughly 30 countries, serving nearly every major global OEM under CEO Jerome Dorlack.</w:t>
      </w:r>
    </w:p>
    <w:p>
      <w:r>
        <w:rPr>
          <w:rFonts w:ascii="Calibri" w:hAnsi="Calibri"/>
          <w:b/>
          <w:color w:val="6E8450"/>
          <w:sz w:val="18"/>
        </w:rPr>
        <w:t>66,000 Employees · https://www.adient.com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Adient has posted no transformative pivot since its 2016 spin-off; Q3 2026 revenue grew a modest 5% YoY to $3.9B on volume strength in the Americas and Asia, with China sales up ~33%, but this is incremental cyclical recovery rather than reinvention [1]. AI Deployment (1/2): Adient has developed AI-17/18/19 autonomous-vehicle seating concepts co-developed with technology partners, but these remain concept demonstrations with no shipping product or quantified savings disclosed [2]. Market Share (2/2): Adient's seating content is estimated in roughly one of every three vehicles produced globally, a specific and durable category-leadership claim [2]. Product Pipeline (0/2): No next-generation product with a named commercial launch date or revenue visibility was found beyond the AI-1x concept seating demonstrations. R&amp;D Intensity (0/1): Automotive seating is a low-R&amp;D-intensity, thin-margin tier-1 supplier business; no evidence of above-industry-average spend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Adient's public messaging around craftsmanship, comfort, and safety in automotive seating is generic and interchangeable with peers such as Lear and Magna, with no distinctive articulated purpose found. Community Impact (0/2): No specific charitable programs or dollar-figure community investments were found in research. Employee Retention (0/2): Glassdoor reviews describe a 'toxic environment,' 'inadequate upper management,' and 'lack of leadership,' and the company is under a WARN Act investigation for allegedly failing to provide 60 days' notice before laying off 320 employees — concrete negative retention/culture evidence [4][5]. Insider Buying (0/2): No insider buying data was found; the company's history includes a $3.5B debt-funded dividend payout that left it with roughly 2x leverage relative to earnings, the opposite of a leadership-conviction signal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the growth-stock weighting (Forward PEG substituting for dividend metrics). Fiscal 2026 revenue guidance was raised to ~$14.8B (from ~$14.6B) with adjusted EBITDA guidance of ~$885M, and Q3 revenue grew 5% YoY to $3.9B, though adjusted EBITDA margin was flat at 5.7% [1]. D/E of 114% is above the 70% target but well inside the 300% floor. ROE of 5.79% and profit margin of 0.32% remain thin, reflecting the structurally low-margin tier-1 seating business, while Forward P/E of 7.11 and Forward PEG of 0.29 both score at the maximum, reflecting deep-value pricing. Liquidity floor cleared: ~936K avg volume x $18.85 = ~$17.7M daily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Adient shows little evidence of infinite game thinking. Its mission language is generic and interchangeable with peers, its current strategy under CEO Jerome Dorlack is explicitly framed around cutting costs to restore profitability rather than long-term capability investment, and Glassdoor reviews and a WARN Act investigation point to a low-trust internal culture. The one genuine bright spot is the company's early, incremental adaptation of seating concepts toward an autonomous-vehicle future.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distinctive, resilient purpose was found; Adient's public language centers on craftsmanship and comfort in a way that is indistinguishable from Lear, Magna, or Forvia, and there is no evidence leadership traces strategic decisions back to a cause beyond restoring earnings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describe a 'toxic environment' with 'inadequate upper management' and 'lack of leadership,' and the company faces a WARN Act investigation over insufficient layoff notice to 320 employees — concrete evidence of a low-trust environment [4][5].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Adient framing competitors as sources of learning; the company's public positioning as the 'world's largest' seating supplier centers on scale rather than acknowledging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AI-17/18/19 concept seating platforms for privately-owned, ride-share, and fully autonomous vehicles show Adient adapting its product roadmap toward an AI/autonomy-driven future, but this is an incremental technology extension within the existing seating business, not a transformative pivot [2].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Coverage of CEO Jerome Dorlack's tenure is explicitly framed as 'chopping Adient's way to profitability,' describing near-term cost discipline rather than a long-term capability bet, and no evidence of leadership sacrificing near-term earnings for future capability was found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Adient is a deep-value, self-help turnaround story: Q3 2026 revenue grew 5% YoY to $3.9B with China sales up ~33%, and management raised full-year revenue guidance to ~$14.8B while maintaining ~$130M FCF guidance [1]. At a 7.1x forward P/E and 0.29 Forward PEG, the stock prices in minimal recovery, and the company's roughly one-in-three global vehicle seating content underpins durable, if thin-margin, cash generation once cost actions land. Management's explicit cost-cutting focus under CEO Jerome Dorlack has begun stabilizing adjusted EBITDA margin (up 80bps excluding one-time items) despite flat headline EBITDA [1][6].</w:t>
      </w:r>
    </w:p>
    <w:p>
      <w:pPr>
        <w:spacing w:after="120"/>
      </w:pPr>
      <w:r>
        <w:rPr>
          <w:rFonts w:ascii="Calibri" w:hAnsi="Calibri"/>
          <w:b w:val="0"/>
          <w:color w:val="3A4A28"/>
          <w:sz w:val="20"/>
        </w:rPr>
        <w:t>The bear case is substantial and shows up across every non-financial dimension of this score. Adient's mission language is generic and undifferentiated from peers, Glassdoor reviews describe a toxic, poorly-led culture, and the company faces a WARN Act investigation for allegedly shortchanging 320 laid-off employees on notice — the kind of evidence that drove Inspiration and Infinite Game scores to the bottom of the range [4][5]. D/E of 114% and profit margin near zero (0.32%) leave little cushion for a cyclical auto-production downturn, and the company's history includes a $3.5B debt-funded dividend that left it over-levered relative to earnings — a red flag for financial discipline that still colors its balance sheet today [6]. With a Just Cause score of zero and a Trusting Teams score of zero, Adient reads as a company optimizing for near-term survival rather than one built to endure.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adjusted EBITDA margin recovery toward the ~$885M FY2026 guidance as temporary cost headwinds roll off and the underlying 80bps margin improvement compounds</w:t>
      </w:r>
    </w:p>
    <w:p>
      <w:pPr>
        <w:spacing w:before="40" w:after="40"/>
        <w:ind w:left="283"/>
      </w:pPr>
      <w:r>
        <w:rPr>
          <w:rFonts w:ascii="Calibri" w:hAnsi="Calibri"/>
          <w:b/>
          <w:color w:val="4A6B25"/>
          <w:sz w:val="20"/>
        </w:rPr>
        <w:t xml:space="preserve">2. </w:t>
      </w:r>
      <w:r>
        <w:rPr>
          <w:rFonts w:ascii="Calibri" w:hAnsi="Calibri"/>
          <w:b w:val="0"/>
          <w:color w:val="3A4A28"/>
          <w:sz w:val="20"/>
        </w:rPr>
        <w:t>China sales momentum (+33% YoY in Q3 2026) diversifying revenue away from mature North American and European OEM programs</w:t>
      </w:r>
    </w:p>
    <w:p>
      <w:pPr>
        <w:spacing w:before="40" w:after="40"/>
        <w:ind w:left="283"/>
      </w:pPr>
      <w:r>
        <w:rPr>
          <w:rFonts w:ascii="Calibri" w:hAnsi="Calibri"/>
          <w:b/>
          <w:color w:val="4A6B25"/>
          <w:sz w:val="20"/>
        </w:rPr>
        <w:t xml:space="preserve">3. </w:t>
      </w:r>
      <w:r>
        <w:rPr>
          <w:rFonts w:ascii="Calibri" w:hAnsi="Calibri"/>
          <w:b w:val="0"/>
          <w:color w:val="3A4A28"/>
          <w:sz w:val="20"/>
        </w:rPr>
        <w:t>Resolution of the WARN Act investigation and demonstrated improvement in Glassdoor sentiment as a leading indicator of reduced operational/legal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low-margin tier-1 supplier model (0.32% profit margin, 5.7% adjusted EBITDA margin) leaves almost no cushion against an auto-production downturn or OEM cost-down pressure</w:t>
      </w:r>
    </w:p>
    <w:p>
      <w:pPr>
        <w:spacing w:before="40" w:after="40"/>
        <w:ind w:left="283"/>
      </w:pPr>
      <w:r>
        <w:rPr>
          <w:rFonts w:ascii="Calibri" w:hAnsi="Calibri"/>
          <w:b/>
          <w:color w:val="4A6B25"/>
          <w:sz w:val="20"/>
        </w:rPr>
        <w:t xml:space="preserve">2. </w:t>
      </w:r>
      <w:r>
        <w:rPr>
          <w:rFonts w:ascii="Calibri" w:hAnsi="Calibri"/>
          <w:b w:val="0"/>
          <w:color w:val="3A4A28"/>
          <w:sz w:val="20"/>
        </w:rPr>
        <w:t>Documented toxic-culture signals (Glassdoor, WARN Act investigation) suggest execution risk in a workforce-intensive manufacturing business spanning ~200 plants in ~30 countries</w:t>
      </w:r>
    </w:p>
    <w:p>
      <w:pPr>
        <w:spacing w:before="40" w:after="40"/>
        <w:ind w:left="283"/>
      </w:pPr>
      <w:r>
        <w:rPr>
          <w:rFonts w:ascii="Calibri" w:hAnsi="Calibri"/>
          <w:b/>
          <w:color w:val="4A6B25"/>
          <w:sz w:val="20"/>
        </w:rPr>
        <w:t xml:space="preserve">3. </w:t>
      </w:r>
      <w:r>
        <w:rPr>
          <w:rFonts w:ascii="Calibri" w:hAnsi="Calibri"/>
          <w:b w:val="0"/>
          <w:color w:val="3A4A28"/>
          <w:sz w:val="20"/>
        </w:rPr>
        <w:t>114% debt-to-equity, inherited in part from a historical debt-funded dividend payout, limits financial flexibility if the current cost-cutting turnaround stalls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Adient's core business — physically manufacturing and JIT-delivering seating systems to OEM assembly plants across ~200 facilities in ~30 countries — requires capital, tooling, and logistics that AI cannot replicate, and no analyst commentary flags direct AI substitution risk for tier-1 seating [1][2]. AI Opportunity (0/1): The AI-17/18/19 autonomous-seating concepts show forward-looking positioning for an AI/autonomous-vehicle future, but no quantified AI-related revenue has been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Adient Q3 2026 Earnings Call Highlights and Guidance — Yahoo Finance, Simply Wall St, 2026</w:t>
      </w:r>
    </w:p>
    <w:p>
      <w:pPr>
        <w:spacing w:before="20" w:after="20"/>
        <w:ind w:left="170"/>
      </w:pPr>
      <w:r>
        <w:rPr>
          <w:rFonts w:ascii="Calibri" w:hAnsi="Calibri"/>
          <w:b/>
          <w:color w:val="4A6B25"/>
          <w:sz w:val="15"/>
        </w:rPr>
        <w:t xml:space="preserve">2. </w:t>
      </w:r>
      <w:r>
        <w:rPr>
          <w:rFonts w:ascii="Calibri" w:hAnsi="Calibri"/>
          <w:b w:val="0"/>
          <w:color w:val="3A4A28"/>
          <w:sz w:val="17"/>
        </w:rPr>
        <w:t>Adient Q2 2026 Earnings Call Transcript and AI-17/18/19 Autonomous Seating Concepts — Investing.com, adient.com, 2026</w:t>
      </w:r>
    </w:p>
    <w:p>
      <w:pPr>
        <w:spacing w:before="20" w:after="20"/>
        <w:ind w:left="170"/>
      </w:pPr>
      <w:r>
        <w:rPr>
          <w:rFonts w:ascii="Calibri" w:hAnsi="Calibri"/>
          <w:b/>
          <w:color w:val="4A6B25"/>
          <w:sz w:val="15"/>
        </w:rPr>
        <w:t xml:space="preserve">3. </w:t>
      </w:r>
      <w:r>
        <w:rPr>
          <w:rFonts w:ascii="Calibri" w:hAnsi="Calibri"/>
          <w:b w:val="0"/>
          <w:color w:val="3A4A28"/>
          <w:sz w:val="17"/>
        </w:rPr>
        <w:t>Adient plc Corporate Overview — Wikipedia, adient.com locations,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Working at Adient — Glassdoor Reviews,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Adient WARN Act Investigation — Strauss Borrelli PLLC, April 2025</w:t>
      </w:r>
    </w:p>
    <w:p>
      <w:pPr>
        <w:spacing w:before="20" w:after="20"/>
        <w:ind w:left="170"/>
      </w:pPr>
      <w:r>
        <w:rPr>
          <w:rFonts w:ascii="Calibri" w:hAnsi="Calibri"/>
          <w:b/>
          <w:color w:val="4A6B25"/>
          <w:sz w:val="15"/>
        </w:rPr>
        <w:t xml:space="preserve">6. </w:t>
      </w:r>
      <w:r>
        <w:rPr>
          <w:rFonts w:ascii="Calibri" w:hAnsi="Calibri"/>
          <w:b w:val="0"/>
          <w:color w:val="3A4A28"/>
          <w:sz w:val="17"/>
        </w:rPr>
        <w:t>CEO Chopping Adient's Way to Profitability — Crain's Detroit Business; Pomerantz Law Firm class action history</w:t>
      </w:r>
    </w:p>
    <w:p>
      <w:pPr>
        <w:spacing w:before="20" w:after="20"/>
        <w:ind w:left="170"/>
      </w:pPr>
      <w:r>
        <w:rPr>
          <w:rFonts w:ascii="Calibri" w:hAnsi="Calibri"/>
          <w:b/>
          <w:color w:val="4A6B25"/>
          <w:sz w:val="15"/>
        </w:rPr>
        <w:t xml:space="preserve">7. </w:t>
      </w:r>
      <w:r>
        <w:rPr>
          <w:rFonts w:ascii="Calibri" w:hAnsi="Calibri"/>
          <w:b w:val="0"/>
          <w:color w:val="3A4A28"/>
          <w:sz w:val="17"/>
        </w:rPr>
        <w:t>stockanalysis.com — ADNT Statistics and Financials,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