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ADSK</w:t>
      </w:r>
      <w:r>
        <w:rPr>
          <w:rFonts w:ascii="Calibri" w:hAnsi="Calibri"/>
          <w:b/>
          <w:color w:val="1A2010"/>
          <w:sz w:val="40"/>
        </w:rPr>
        <w:t xml:space="preserve">  Autodesk, Inc.</w:t>
      </w:r>
    </w:p>
    <w:p>
      <w:pPr>
        <w:spacing w:after="120"/>
      </w:pPr>
      <w:r>
        <w:rPr>
          <w:rFonts w:ascii="Calibri" w:hAnsi="Calibri"/>
          <w:b/>
          <w:color w:val="6E8450"/>
          <w:sz w:val="18"/>
        </w:rPr>
        <w:t>GROWTH SLEEVE · 2026-07-15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Autodesk, Inc. designs and markets software products and services for the architecture, engineering, construction (AEC), manufacturing, and media and entertainment industries worldwide. Key products include AutoCAD, Revit, Fusion, Maya, 3ds Max, Civil 3D, and the Autodesk Construction Cloud platform. The company completed a transformative shift from perpetual licenses to cloud-based subscriptions and is now integrating proprietary AI foundation models across its product portfolio. Founded in 1982, headquartered in San Francisco, California. Market cap approximately $43.5 billion.</w:t>
      </w:r>
    </w:p>
    <w:p>
      <w:r>
        <w:rPr>
          <w:rFonts w:ascii="Calibri" w:hAnsi="Calibri"/>
          <w:b/>
          <w:color w:val="6E8450"/>
          <w:sz w:val="18"/>
        </w:rPr>
        <w:t>14,300 Employees · https://www.autodesk.com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Autodesk successfully executed one of the most transformative business model pivots in enterprise software history — migrating from perpetual licenses to recurring subscriptions (2015-2020), nearly doubling revenue from $3.79B (FY2021) to $7.21B (FY2026) [1]. The company also launched Autodesk Construction Cloud and Autodesk Platform Services, creating new revenue streams in construction technology. AI Deployment (2/2): Autodesk is shipping AI-powered features across its product portfolio — generative design in Fusion, AI-driven building analysis in Revit, and proprietary foundation models that understand 3D design geometry [4]. Management announced agentic AI capabilities targeting automation of design, make, and operate workflows, with practical AI solutions rolling out for independent artists through major studios [4]. Market Share (2/2): AutoCAD has been the industry-standard CAD platform for 40+ years with deep entrenchment in professional workflows; Revit dominates the BIM market for architecture and construction; combined with strong positions in M&amp;E (Maya, 3ds Max), Autodesk holds commanding market share across multiple verticals [6]. Product Pipeline (1/2): Autodesk Operations Solutions (AOS) consolidation is underway, and proprietary plus frontier AI model rollout is planned for coming months, but specific product launch dates and revenue targets remain vague [4]. R&amp;D Intensity (1/1): As a pure-play software company, Autodesk invests heavily in product development — R&amp;D is the core of the business model, with 91.14% gross margins enabling substantial reinvestment [6].</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Autodesk's purpose — 'to make technology accessible so that innovators everywhere can solve challenges big and small, helping people imagine, design, and make a better world' — is specific, thoughtful, and has guided 40+ years of strategic decisions from desktop CAD to cloud-based AI-powered design tools [4]. The Culture Code articulates six values (Smart, Innovative, Adaptable, Inclusive, Impactful, Courageous) that clearly connect to product decisions and market approach. Not quite 'transformative and validated' (4/4) because the mission is more aspirational than competitively differentiating. Community Impact (1/2): Autodesk provides free software licenses to educational institutions and students worldwide, democratizing access to professional design tools, and has various sustainability programs, though no specific dollar amounts for charitable giving were identified [4]. Employee Retention (1/2): With 14,300 employees and generally stable leadership, Autodesk maintains an adequate retention profile for the software industry; no specific turnover data is available, but the company's consistent execution through the subscription transition suggests organizational stability [6]. Insider Buying (2/2): CFO Janesh Moorjani purchased 2,500 shares on June 15, 2026 at approximately $200/share (roughly $500K), a meaningful personal investment with the stock down over 35% from its 52-week high, signaling executive conviction in the company's long-term value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near-perfect results across all metrics. Revenue of $7.21B grew 17.53% YoY in FY2026 with an estimated 5-year CAGR of approximately 13.7%, both exceeding the 10% target [1][2]. ROE of 50.4% is more than triple the 15% target, driven by the asset-light SaaS model with 91% gross margins [3]. Forward P/E of 16.0 is below the 20 target, and the PEG ratio of 0.78 is well below the 1.0 target, indicating the stock is attractively valued relative to its growth rate [3]. Debt-to-equity of 85% is modestly above the 70% target but well within the acceptable range. Profit margin of 19.0% narrowly misses the 20% target but represents dramatic improvement from the subscription transition era. Daily dollar volume of approximately $325M provides ample institutional liquidity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Autodesk is a textbook infinite game player in Sinek's framework. The company's most defining act — deliberately destroying its profitable perpetual license business to build a subscription model (2015-2020) — is one of the clearest examples of existential flexibility in modern business. Leadership accepted years of revenue compression and stock price pain to build a more durable, recurring-revenue business model aligned with the mission of democratizing design technology. The 40+ year track record of evolving from DOS-era CAD to cloud-based AI-powered design, with consistent purpose throughout, demonstrates genuine long-term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Autodesk's purpose of making technology accessible so people can 'imagine, design, and make a better world' has been genuinely consistent for over 40 years, surviving the transition from founder John Walker's era through multiple CEOs to current leadership under Andrew Anagnost [4]. The purpose connects the company's work to human creativity and societal benefit, and strategic decisions (free educational licenses, subscription democratization, sustainability tools) trace back to it. Falls short of a canonical 3/3 because the purpose hasn't been tested through existential crisis in the way NVDA's was through the crypto bust.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Autodesk maintains stable leadership under CEO Andrew Anagnost (appointed 2017) and a Culture Code that explicitly values psychological safety through its 'Courageous' and 'Inclusive' principles [4]. The company successfully navigated the subscription transition without mass exodus, suggesting adequate organizational trust. However, no specific employee tenure data, voluntary turnover metrics, or standout cultural practices distinguish Autodesk from peers in the software industry.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Autodesk competes with Bentley Systems, Trimble, PTC, and Dassault Systemes, and its competitive approach focuses on improving its own platform capabilities rather than attacking rivals. The AI strategy — building proprietary foundation models for 3D design rather than simply wrapping generic LLMs — suggests the company is motivated by what it can uniquely offer rather than what competitors are doing [4]. Management's competitive language consistently references customer outcomes and industry transformation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perpetual-to-subscription transition (2015-2020) is one of the most dramatic voluntary business model transformations in enterprise software history [1]. Autodesk deliberately cannibalized hundreds of millions in perpetual license revenue, accepting years of revenue decline, stock price compression, and investor criticism, to build a more durable recurring-revenue model. This was not a desperate pivot — it was a proactive decision made from a position of market dominance, driven by the belief that cloud-based subscriptions would better serve the mission of democratizing design tools.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subscription transition required extraordinary courage — leadership knowingly destroyed near-term profitability to invest in long-term capability. Revenue declined from $2.57B (FY2016 perpetual peak) before recovering and ultimately exceeding $7.2B under the subscription model [1]. Additionally, Autodesk's investment in proprietary AI foundation models for 3D design represents a costly long-term bet when cheaper options (wrapping frontier LLMs) were available, demonstrating willingness to sacrifice short-term efficiency for long-term differentiation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Autodesk delivered exceptional FY2026 results with $7.21B revenue (up 17.53% YoY) and continued the momentum into Q1 FY2027 with $1.93B revenue (up 18% YoY) and EPS of $2.99, beating consensus by 10.7% [1][2]. The stock trades at a forward P/E of 16.0 and PEG of 0.78 — remarkably cheap for a dominant software franchise with 91% gross margins, 50% ROE, and double-digit revenue growth. The subscription model generates predictable recurring revenue with high switching costs, and AI integration (proprietary 3D foundation models, generative design, agentic workflows) positions Autodesk to expand both per-seat value and total addressable market across AEC, manufacturing, and M&amp;E verticals [4]. CFO insider buying at depressed levels signals executive conviction.</w:t>
      </w:r>
    </w:p>
    <w:p>
      <w:pPr>
        <w:spacing w:after="120"/>
      </w:pPr>
      <w:r>
        <w:rPr>
          <w:rFonts w:ascii="Calibri" w:hAnsi="Calibri"/>
          <w:b w:val="0"/>
          <w:color w:val="3A4A28"/>
          <w:sz w:val="20"/>
        </w:rPr>
        <w:t>The primary risk is macroeconomic exposure — Autodesk's revenue is tied to construction activity, manufacturing investment, and media production spending, all of which are cyclically sensitive. The stock has declined 35%+ from its 52-week high of $329 to $206, reflecting broader software sector de-rating amid AI disruption fears, though analysts maintain a 'Strong Buy' consensus with a $318.53 average price target (54.7% upside) [6]. The ongoing sales force reorganization introduces near-term execution risk, with management acknowledging potential disruption to new subscription growth during the transition period [2]. Additionally, while Autodesk's AI strategy is compelling, execution against well-funded competitors (Bentley, Trimble, and AI-native startups) remains unproven, and the D/E ratio of 85% is modestly elevated for a software company, though manageable given strong cash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Rollout of proprietary AI foundation models for 3D design and agentic AI capabilities across the product portfolio, potentially driving subscription expansion and per-seat pricing power in FY2027-2028</w:t>
      </w:r>
    </w:p>
    <w:p>
      <w:pPr>
        <w:spacing w:before="40" w:after="40"/>
        <w:ind w:left="283"/>
      </w:pPr>
      <w:r>
        <w:rPr>
          <w:rFonts w:ascii="Calibri" w:hAnsi="Calibri"/>
          <w:b/>
          <w:color w:val="4A6B25"/>
          <w:sz w:val="20"/>
        </w:rPr>
        <w:t xml:space="preserve">2. </w:t>
      </w:r>
      <w:r>
        <w:rPr>
          <w:rFonts w:ascii="Calibri" w:hAnsi="Calibri"/>
          <w:b w:val="0"/>
          <w:color w:val="3A4A28"/>
          <w:sz w:val="20"/>
        </w:rPr>
        <w:t>Continued double-digit revenue growth with expanding operating margins — management guided for double-digit growth in both revenue and billings for FY2027 with increased operating leverage</w:t>
      </w:r>
    </w:p>
    <w:p>
      <w:pPr>
        <w:spacing w:before="40" w:after="40"/>
        <w:ind w:left="283"/>
      </w:pPr>
      <w:r>
        <w:rPr>
          <w:rFonts w:ascii="Calibri" w:hAnsi="Calibri"/>
          <w:b/>
          <w:color w:val="4A6B25"/>
          <w:sz w:val="20"/>
        </w:rPr>
        <w:t xml:space="preserve">3. </w:t>
      </w:r>
      <w:r>
        <w:rPr>
          <w:rFonts w:ascii="Calibri" w:hAnsi="Calibri"/>
          <w:b w:val="0"/>
          <w:color w:val="3A4A28"/>
          <w:sz w:val="20"/>
        </w:rPr>
        <w:t>Stock re-rating from current 16x forward PE toward the 34-analyst consensus target of $318.53, driven by execution on AI strategy and subscription momentum in AEC and manufacturing verticals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Macroeconomic downturn in construction, manufacturing, or media production could slow subscription growth — Autodesk's revenue is cyclically sensitive despite the recurring model</w:t>
      </w:r>
    </w:p>
    <w:p>
      <w:pPr>
        <w:spacing w:before="40" w:after="40"/>
        <w:ind w:left="283"/>
      </w:pPr>
      <w:r>
        <w:rPr>
          <w:rFonts w:ascii="Calibri" w:hAnsi="Calibri"/>
          <w:b/>
          <w:color w:val="4A6B25"/>
          <w:sz w:val="20"/>
        </w:rPr>
        <w:t xml:space="preserve">2. </w:t>
      </w:r>
      <w:r>
        <w:rPr>
          <w:rFonts w:ascii="Calibri" w:hAnsi="Calibri"/>
          <w:b w:val="0"/>
          <w:color w:val="3A4A28"/>
          <w:sz w:val="20"/>
        </w:rPr>
        <w:t>Sales force reorganization introduces near-term execution risk to new subscription acquisition, with management explicitly pricing disruption into FY2027 guidance</w:t>
      </w:r>
    </w:p>
    <w:p>
      <w:pPr>
        <w:spacing w:before="40" w:after="40"/>
        <w:ind w:left="283"/>
      </w:pPr>
      <w:r>
        <w:rPr>
          <w:rFonts w:ascii="Calibri" w:hAnsi="Calibri"/>
          <w:b/>
          <w:color w:val="4A6B25"/>
          <w:sz w:val="20"/>
        </w:rPr>
        <w:t xml:space="preserve">3. </w:t>
      </w:r>
      <w:r>
        <w:rPr>
          <w:rFonts w:ascii="Calibri" w:hAnsi="Calibri"/>
          <w:b w:val="0"/>
          <w:color w:val="3A4A28"/>
          <w:sz w:val="20"/>
        </w:rPr>
        <w:t>AI-native design startups could disrupt Autodesk's position from below with lighter, AI-first tools, particularly for small and mid-market customers less locked into Autodesk file formats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Autodesk's design software is deeply embedded in professional workflows across architecture, engineering, construction, and manufacturing — industries with massive switching costs, regulatory requirements (building codes, engineering certifications), and decades of accumulated institutional knowledge locked in Autodesk file formats [6]. Rather than being disrupted by AI, Autodesk is the platform through which AI capabilities are delivered to these industries. Analysts view AI integration as a tailwind for subscription growth and seat expansion, not a substitution risk [1][2]. The primary defense is that generative AI enhances the value of Autodesk's tools (making designers more productive) rather than replacing them — architects still need BIM software even if AI assists with design. AI Opportunity (1/1): Autodesk is shipping AI features (generative design, AI-driven building analysis) and investing in proprietary foundation models for 3D design. Q1 FY2027 revenue grew 18% YoY to $1.93B with EPS of $2.99 beating estimates by 10.7%, with management crediting AI-enhanced product capabilities for sustaining growth momentum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Autodesk Q4 FY2026 Earnings Release — Fourth quarter revenue grew 19% YoY to $1.96B, Autodesk Investor Relations, February 2026</w:t>
      </w:r>
    </w:p>
    <w:p>
      <w:pPr>
        <w:spacing w:before="20" w:after="20"/>
        <w:ind w:left="170"/>
      </w:pPr>
      <w:r>
        <w:rPr>
          <w:rFonts w:ascii="Calibri" w:hAnsi="Calibri"/>
          <w:b/>
          <w:color w:val="4A6B25"/>
          <w:sz w:val="15"/>
        </w:rPr>
        <w:t xml:space="preserve">2. </w:t>
      </w:r>
      <w:r>
        <w:rPr>
          <w:rFonts w:ascii="Calibri" w:hAnsi="Calibri"/>
          <w:b w:val="0"/>
          <w:color w:val="3A4A28"/>
          <w:sz w:val="17"/>
        </w:rPr>
        <w:t>Autodesk Q1 FY2027 Earnings Release — Revenue of $1.93B up 18% YoY, EPS $2.99 beating $2.70 consensus, May 28, 2026</w:t>
      </w:r>
    </w:p>
    <w:p>
      <w:pPr>
        <w:spacing w:before="20" w:after="20"/>
        <w:ind w:left="170"/>
      </w:pPr>
      <w:r>
        <w:rPr>
          <w:rFonts w:ascii="Calibri" w:hAnsi="Calibri"/>
          <w:b/>
          <w:color w:val="4A6B25"/>
          <w:sz w:val="15"/>
        </w:rPr>
        <w:t xml:space="preserve">3. </w:t>
      </w:r>
      <w:r>
        <w:rPr>
          <w:rFonts w:ascii="Calibri" w:hAnsi="Calibri"/>
          <w:b w:val="0"/>
          <w:color w:val="3A4A28"/>
          <w:sz w:val="17"/>
        </w:rPr>
        <w:t>GuruFocus — ADSK PEG Ratio 0.78 (37% below 10-year median), ROE 50.4%, Financial Statistics,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Autodesk News — 'Rewriting the Rules of Creation: AI Mission for Media &amp; Entertainment,' and Culture Code values, 2026</w:t>
      </w:r>
    </w:p>
    <w:p>
      <w:pPr>
        <w:spacing w:before="20" w:after="20"/>
        <w:ind w:left="170"/>
      </w:pPr>
      <w:r>
        <w:rPr>
          <w:rFonts w:ascii="Calibri" w:hAnsi="Calibri"/>
          <w:b/>
          <w:color w:val="4A6B25"/>
          <w:sz w:val="15"/>
        </w:rPr>
        <w:t xml:space="preserve">5. </w:t>
      </w:r>
      <w:r>
        <w:rPr>
          <w:rFonts w:ascii="Calibri" w:hAnsi="Calibri"/>
          <w:b w:val="0"/>
          <w:color w:val="3A4A28"/>
          <w:sz w:val="17"/>
        </w:rPr>
        <w:t>GuruFocus — Insider Buying: CFO Janesh Moorjani Acquires 2,500 Shares of ADSK at ~$200, June 15,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ADSK Stock Price $205.92, Market Cap $43.48B, Financial Overview,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