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AFL</w:t>
      </w:r>
      <w:r>
        <w:rPr>
          <w:rFonts w:ascii="Calibri" w:hAnsi="Calibri"/>
          <w:b/>
          <w:color w:val="1A2010"/>
          <w:sz w:val="40"/>
        </w:rPr>
        <w:t xml:space="preserve">  Aflac Incorporated</w:t>
      </w:r>
    </w:p>
    <w:p>
      <w:pPr>
        <w:spacing w:after="120"/>
      </w:pPr>
      <w:r>
        <w:rPr>
          <w:rFonts w:ascii="Calibri" w:hAnsi="Calibri"/>
          <w:b/>
          <w:color w:val="6E8450"/>
          <w:sz w:val="18"/>
        </w:rPr>
        <w:t>DIVIDEND SLEEVE · 2026-07-14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Aflac Incorporated is the largest provider of supplemental health and life insurance in the United States and Japan, operating through its Aflac Japan and Aflac U.S. segments. Products include cancer, medical, disability, critical illness, hospital indemnity, dental, vision, and life insurance policies sold to individuals and groups through independent agents and brokers. The company returned $1.3B to shareholders in Q1 2026 through buybacks and dividends. Founded in 1955, headquartered in Columbus, Georgia.</w:t>
      </w:r>
    </w:p>
    <w:p>
      <w:r>
        <w:rPr>
          <w:rFonts w:ascii="Calibri" w:hAnsi="Calibri"/>
          <w:b/>
          <w:color w:val="6E8450"/>
          <w:sz w:val="18"/>
        </w:rPr>
        <w:t>12,716 Employees · https://www.aflac.com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Aflac has steadily expanded its product portfolio over the past five years, adding pet insurance, Medicare supplement, hearing, and absence management products, but none represent a transformative launch or business model pivot [1]. Revenue growth has been driven primarily by investment returns and share repurchases rather than new product innovation. AI Deployment (1/2): Aflac has deployed AI in meaningful ways — its Code-Based Processing system auto-adjudicates lower-risk claims with strong ROI, and the Hatch innovation lab is pursuing generative AI proof-of-concepts across the insurance value chain from sales to claims [3][4]. Aflac CIO Sheila Anderson has highlighted agentic AI as the next evolution for customer experience. However, no specific revenue or savings figures have been publicly quantified. Market Share (1/2): Aflac is the #1 provider of supplemental insurance in both the US and Japan, a dominant market position built over 70 years [1]. However, market share has been relatively stable rather than actively gaining. Product Pipeline (1/2): Incremental product extensions (pet insurance, Medicare supplement, absence management) provide modest growth vectors, but no transformative next-gen products have been announced with specific timelines. R&amp;D Intensity (0/1): As an insurance company, Aflac does not report traditional R&amp;D spending. Technology investment is meaningful but below the threshold for technology-intensive industries.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Aflac's purpose centers on helping people manage the financial burden when illness or injury strikes, providing supplemental insurance that covers gaps in primary health coverage [1]. This is a clear and genuine purpose but reads as standard for the insurance industry rather than deeply distinctive. Community Impact (2/2): Aflac's philanthropic commitment is distinctive and sustained — the Aflac Childhood Cancer Campaign has raised over $176M, and the Aflac Cancer and Blood Disorders Center at Children's Healthcare of Atlanta bears the company's name [1]. These are signature community investments aligned with the company's healthcare mission, not generic corporate philanthropy. Employee Retention (1/2): Aflac's 12,716 employees operate in a culture that emphasizes growth and innovation under President Virgil Miller's leadership. The company has maintained stable executive leadership, but no specific turnover or tenure data is publicly available to confirm above-average retention. Insider Buying (0/2): Net insider selling pattern identified — multiple directors and officers adopted Rule 10b5-1 selling plans in late 2025, with directors Hosoda and Moskowitz executing sales in May 2026 [5]. No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Aflac demonstrates exceptional financial durability across nearly all Infrastructure metrics. D/E of 48.3% is well below the 70% target, reflecting a conservatively managed balance sheet for an insurance company [5]. ROE of 16.5% exceeds the 15% target, driven by disciplined capital allocation including $1.0B in Q1 2026 share repurchases [1]. Q1 2026 total revenue surged 27.9% YoY to $4.3B, though this was driven largely by net investment gains rather than operational growth — adjusted earnings were essentially flat [1]. Profit margin of 25.6% exceeds the 20% target. Forward P/E of 16.3 is well below 20, and the payout ratio of 26.9% is very conservative relative to the 40% target. The dividend profile is exceptional: 43 consecutive years of increases (Dividend Aristocrat status), approximately 50 years of consecutive payments, and 5yr dividend growth CAGR of approximately 8% [2]. The only weakness is the 5yr revenue CAGR of approximately -5%, reflecting yen depreciation impact on Aflac Japan revenue and portfolio repositioning.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Aflac is a 70-year-old company with a genuine purpose around protecting people from the financial impact of illness. The company has demonstrated remarkable consistency under the Amos family leadership (Dan Amos has served as CEO since 1990), and the 43 consecutive years of dividend increases reflect long-term shareholder stewardship. However, Aflac's strategic evolution has been incremental rather than bold, and the company's competitive posture is more about defending its dominant supplemental insurance position than pursuing a transformative vision of the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Aflac's purpose of helping people manage the financial burden of illness has been validated by 70 years of consistent execution across two countries [1]. The mission is genuine — it clearly shapes product development decisions and the company's distinctive Aflac Duck campaigns effectively communicate the purpose to consumers. Strategic decisions like expanding into cancer insurance and maintaining the Aflac Childhood Cancer campaign trace back to this purpose. However, the purpose has not been tested through the kind of dramatic strategic transformation that earns a perfect 3 — Aflac has refined and expanded its insurance model rather than reinventing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Aflac under Dan Amos has maintained remarkable leadership stability — Amos has served as CEO since 1990, over 35 years [1]. President Virgil Miller is described as fostering a culture comfortable with change that shares both successes and failures. The company's 12,716 employees operate across two countries with generally stable organizational culture. However, no specific evidence of exceptional psychological safety, employee empowerment, or trust-building practices distinguishes Aflac from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Aflac operates constructively in the supplemental insurance market, competing with MetLife, Unum, and others without engaging in destructive competitive rhetoric. The company's strategic language consistently focuses on expanding the supplemental insurance market and improving customer outcomes rather than defeating specific competitors. Aflac's 70-year focus on its niche demonstrates competitive confidence rooted in purpose rather than market share obsession.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Aflac demonstrated meaningful strategic flexibility by expanding from its US base into Japan in 1974, eventually making Aflac Japan the larger business segment [1]. More recently, the company has shown adaptability by embracing AI-driven claims processing and expanding into adjacent products (pet insurance, absence management). However, these represent incremental extensions rather than the dramatic strategic pivots Sinek associates with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Aflac has demonstrated steady long-term leadership under Dan Amos, consistently prioritizing shareholder returns (43 consecutive years of dividend increases, $1.3B returned in Q1 2026 alone) and maintaining strategic focus on supplemental insurance [1][2]. The company's entry into Japan was a courageous bet in the 1970s. However, recent strategic decisions have been more operational than visionary, and the company has not faced a moment where leadership had to sacrifice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Aflac is a best-in-class supplemental insurance franchise with dominant market positions in both the US and Japan, delivering Q1 2026 total revenue of $4.3B (up 27.9% YoY) and returning $1.3B to shareholders through buybacks and dividends [1]. The dividend profile is exceptional — 43 consecutive years of increases, 2.0% yield, conservative 26.9% payout ratio, and 8% 5yr growth CAGR place Aflac among the most reliable income generators in the S&amp;P 500 [2]. At 16.3x forward earnings with a PEG of 1.18, the stock offers reasonable value for a company generating consistent mid-teens ROE and 25%+ profit margins. The $62.8B market cap is supported by disciplined capital allocation and a fortress balance sheet with D/E of only 48%.</w:t>
      </w:r>
    </w:p>
    <w:p>
      <w:pPr>
        <w:spacing w:after="120"/>
      </w:pPr>
      <w:r>
        <w:rPr>
          <w:rFonts w:ascii="Calibri" w:hAnsi="Calibri"/>
          <w:b w:val="0"/>
          <w:color w:val="3A4A28"/>
          <w:sz w:val="20"/>
        </w:rPr>
        <w:t>The primary concern is the quality of revenue growth and Japan exposure. Q1 2026's headline 27.9% revenue growth was driven by net investment gains rather than operational expansion — adjusted earnings were flat YoY [1]. The 5yr revenue CAGR of approximately -5% reflects structural headwinds from yen depreciation and Japan's aging demographics, which pressure Aflac Japan's policyholder base. While Aflac is actively deploying AI for claims efficiency and exploring generative AI applications through its Hatch lab, the company's innovation pace is incremental rather than transformative [3][4]. The insurance industry faces longer-term questions about AI-enabled distribution and underwriting that could compress margins for incumbent players. Net insider selling by multiple directors in 2026 suggests management may view the stock as fairly valued near its 52-week high of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aggressive share repurchase program ($1.0B in Q1 2026 alone) driving EPS growth above underlying earnings growth, potentially accelerating if the stock pulls back from 52-week highs [1]</w:t>
      </w:r>
    </w:p>
    <w:p>
      <w:pPr>
        <w:spacing w:before="40" w:after="40"/>
        <w:ind w:left="283"/>
      </w:pPr>
      <w:r>
        <w:rPr>
          <w:rFonts w:ascii="Calibri" w:hAnsi="Calibri"/>
          <w:b/>
          <w:color w:val="4A6B25"/>
          <w:sz w:val="20"/>
        </w:rPr>
        <w:t xml:space="preserve">2. </w:t>
      </w:r>
      <w:r>
        <w:rPr>
          <w:rFonts w:ascii="Calibri" w:hAnsi="Calibri"/>
          <w:b w:val="0"/>
          <w:color w:val="3A4A28"/>
          <w:sz w:val="20"/>
        </w:rPr>
        <w:t>AI-driven claims automation via Code-Based Processing expanding into new product lines, with potential for quantified cost savings that improve adjusted operating margins [3][4]</w:t>
      </w:r>
    </w:p>
    <w:p>
      <w:pPr>
        <w:spacing w:before="40" w:after="40"/>
        <w:ind w:left="283"/>
      </w:pPr>
      <w:r>
        <w:rPr>
          <w:rFonts w:ascii="Calibri" w:hAnsi="Calibri"/>
          <w:b/>
          <w:color w:val="4A6B25"/>
          <w:sz w:val="20"/>
        </w:rPr>
        <w:t xml:space="preserve">3. </w:t>
      </w:r>
      <w:r>
        <w:rPr>
          <w:rFonts w:ascii="Calibri" w:hAnsi="Calibri"/>
          <w:b w:val="0"/>
          <w:color w:val="3A4A28"/>
          <w:sz w:val="20"/>
        </w:rPr>
        <w:t>Stabilization of Aflac Japan revenue if yen appreciates or operational growth offsets currency headwinds, which would improve the 5yr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Yen depreciation and Japan demographic headwinds could continue to pressure Aflac Japan revenue, which represents roughly 70% of total premium income — the 5yr revenue CAGR of -5% reflects this structural challenge</w:t>
      </w:r>
    </w:p>
    <w:p>
      <w:pPr>
        <w:spacing w:before="40" w:after="40"/>
        <w:ind w:left="283"/>
      </w:pPr>
      <w:r>
        <w:rPr>
          <w:rFonts w:ascii="Calibri" w:hAnsi="Calibri"/>
          <w:b/>
          <w:color w:val="4A6B25"/>
          <w:sz w:val="20"/>
        </w:rPr>
        <w:t xml:space="preserve">2. </w:t>
      </w:r>
      <w:r>
        <w:rPr>
          <w:rFonts w:ascii="Calibri" w:hAnsi="Calibri"/>
          <w:b w:val="0"/>
          <w:color w:val="3A4A28"/>
          <w:sz w:val="20"/>
        </w:rPr>
        <w:t>Q1 2026 headline revenue growth of 27.9% was inflated by net investment gains; underlying adjusted earnings growth was essentially flat, suggesting limited organic momentum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pattern with multiple directors executing 10b5-1 sales near the 52-week high signals that leadership may not see significant upside from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Aflac's supplemental insurance business has meaningful defensive moats against AI disruption — regulatory requirements for insurance licensing, established distribution networks of independent agents, deep policyholder relationships in Japan and the US, and the complexity of underwriting supplemental health coverage [1]. However, AI poses moderate risks to certain business processes: claims auto-adjudication (which Aflac is already adopting), customer service automation, and potentially agent-assisted sales could face AI substitution over time. The Aflac Japan business, which relies heavily on face-to-face sales through banks and agencies, faces longer-term demographic headwinds that AI-enabled distribution could either mitigate or exacerbate. AI Opportunity (1/1): Aflac generates measurable operational value from AI — the Code-Based Processing system auto-adjudicates lower-risk claims with documented ROI improvements, and the Hatch innovation lab is actively developing generative AI proof-of-concepts mapped across the insurance value chain [3][4]. CIO Sheila Anderson has publicly outlined an agentic AI roadmap for customer experience enhancement.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Aflac Incorporated Q1 FY2026 Earnings Release — investors.aflac.com, April 2026</w:t>
      </w:r>
    </w:p>
    <w:p>
      <w:pPr>
        <w:spacing w:before="20" w:after="20"/>
        <w:ind w:left="170"/>
      </w:pPr>
      <w:r>
        <w:rPr>
          <w:rFonts w:ascii="Calibri" w:hAnsi="Calibri"/>
          <w:b/>
          <w:color w:val="4A6B25"/>
          <w:sz w:val="15"/>
        </w:rPr>
        <w:t xml:space="preserve">2. </w:t>
      </w:r>
      <w:r>
        <w:rPr>
          <w:rFonts w:ascii="Calibri" w:hAnsi="Calibri"/>
          <w:b w:val="0"/>
          <w:color w:val="3A4A28"/>
          <w:sz w:val="17"/>
        </w:rPr>
        <w:t>Aflac Incorporated 5.2% Dividend Increase Announcement — newsroom.aflac.com, November 2025</w:t>
      </w:r>
    </w:p>
    <w:p>
      <w:pPr>
        <w:spacing w:before="20" w:after="20"/>
        <w:ind w:left="170"/>
      </w:pPr>
      <w:r>
        <w:rPr>
          <w:rFonts w:ascii="Calibri" w:hAnsi="Calibri"/>
          <w:b/>
          <w:color w:val="4A6B25"/>
          <w:sz w:val="15"/>
        </w:rPr>
        <w:t xml:space="preserve">3. </w:t>
      </w:r>
      <w:r>
        <w:rPr>
          <w:rFonts w:ascii="Calibri" w:hAnsi="Calibri"/>
          <w:b w:val="0"/>
          <w:color w:val="3A4A28"/>
          <w:sz w:val="17"/>
        </w:rPr>
        <w:t>Forbes — Aflac CIO Sheila Anderson's Tech-Driven Modernization, March 2025</w:t>
      </w:r>
    </w:p>
    <w:p>
      <w:pPr>
        <w:spacing w:before="20" w:after="20"/>
        <w:ind w:left="170"/>
      </w:pPr>
      <w:r>
        <w:rPr>
          <w:rFonts w:ascii="Calibri" w:hAnsi="Calibri"/>
          <w:b/>
          <w:color w:val="4A6B25"/>
          <w:sz w:val="15"/>
        </w:rPr>
        <w:t xml:space="preserve">4. </w:t>
      </w:r>
      <w:r>
        <w:rPr>
          <w:rFonts w:ascii="Calibri" w:hAnsi="Calibri"/>
          <w:b w:val="0"/>
          <w:color w:val="3A4A28"/>
          <w:sz w:val="17"/>
        </w:rPr>
        <w:t>CIO Dive — Why Aflac Isn't Rushing Generative AI Adoption,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AFL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