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AGNC</w:t>
      </w:r>
      <w:r>
        <w:rPr>
          <w:rFonts w:ascii="Calibri" w:hAnsi="Calibri"/>
          <w:b/>
          <w:color w:val="1A2010"/>
          <w:sz w:val="40"/>
        </w:rPr>
        <w:t xml:space="preserve">  AGNC Investment Corp.</w:t>
      </w:r>
    </w:p>
    <w:p>
      <w:pPr>
        <w:spacing w:after="120"/>
      </w:pPr>
      <w:r>
        <w:rPr>
          <w:rFonts w:ascii="Calibri" w:hAnsi="Calibri"/>
          <w:b/>
          <w:color w:val="6E8450"/>
          <w:sz w:val="18"/>
        </w:rPr>
        <w:t>DIVIDEND SLEEVE · 2026-08-12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NASDAQ · United States</w:t>
      </w:r>
    </w:p>
    <w:p>
      <w:pPr>
        <w:spacing w:after="80"/>
      </w:pPr>
      <w:r>
        <w:rPr>
          <w:rFonts w:ascii="Calibri" w:hAnsi="Calibri"/>
          <w:b w:val="0"/>
          <w:color w:val="3A4A28"/>
          <w:sz w:val="20"/>
        </w:rPr>
        <w:t>AGNC Investment Corp. is a leading internally managed real estate investment trust (REIT) that invests primarily in Agency residential mortgage-backed securities (Agency MBS) guaranteed by Fannie Mae, Freddie Mac, or Ginnie Mae. Founded in 2008, AGNC is one of the largest agency mREITs with an investment portfolio of approximately $73B, generating returns through the net interest spread between MBS yields and repo financing costs. Market cap ~$8.7B.</w:t>
      </w:r>
    </w:p>
    <w:p>
      <w:r>
        <w:rPr>
          <w:rFonts w:ascii="Calibri" w:hAnsi="Calibri"/>
          <w:b/>
          <w:color w:val="6E8450"/>
          <w:sz w:val="18"/>
        </w:rPr>
        <w:t>60 Employees · https://www.agnc.com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AGNC has operated the identical leveraged Agency MBS investment model since its 2008 founding — no product launches, market pivots, or business model transformations in the last 5 years [1]. The company's strategy remains unchanged: buy government-guaranteed mortgage bonds with repo leverage and harvest the spread. AI Deployment (0/2): No AI-powered products or quantified AI-driven operational savings. AGNC's ~60-person team manages a bond portfolio; there is no technology product line or AI strategy [3]. Market Share (1/2): AGNC is one of the two largest Agency mREIT platforms alongside Annaly Capital Management (NLY), with a ~$73B investment portfolio and ~$8.7B market cap [1]. The company has maintained its top-two position in the internally managed agency REIT category for over a decade. Product Pipeline (0/2): No next-generation products or pipeline — AGNC's output is financial returns, not products. The company's forward opportunity is driven entirely by interest rate conditions and Fed policy, not internal development [2]. R&amp;D Intensity (0/1): Zero R&amp;D spending — AGNC is a financial vehicle, not a technology or operating company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AGNC's stated purpose is to provide private capital to the housing market and generate favorable risk-adjusted returns for stockholders — a functional description interchangeable with any mortgage REIT [3]. There is no articulated vision of a better future or deeper purpose beyond capital allocation. Community Impact (1/2): AGNC publishes annual ESG reports (fourth edition November 2024) with Scope 1 and 2 emissions disclosures, SASB/TCFD alignment, and supports community initiatives. The company's $73B Agency MBS portfolio provides genuine liquidity to the U.S. housing market, but no distinctive charitable programs with specific dollar amounts were identified [3]. Employee Retention (1/2): AGNC earned Great Place to Work Certification, and the executive leadership team — Peter Federico (CEO since 2018), Christopher Kuehl (CIO), and Gary Kain (Executive Chair) — have worked together at AGNC for 12+ years with 90+ combined years of MBS investing experience [3]. The small ~60-person team limits broader workforce retention data. Insider Buying (0/2): No evidence of meaningful net insider buying by executives in the last 12 months was identified through research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AGNC's financial structure is defined by its mREIT model: D/E of 717% reflects structural leverage inherent to mortgage REITs (repo-financed MBS portfolio), scoring 0.0 against the 300% floor [4]. ROE of 19.8% exceeds the 15% target, reflecting improved capital deployment as spreads stabilized in 2026 [2]. Forward P/E of 7.29 is deeply discounted, scoring maximum. Profit margin of 94.4% reflects the financial company structure where most costs are netted against interest income [4]. On dividend metrics, AGNC has paid dividends for 18 consecutive years since 2008, scoring maximum on continuity (2x weight). However, the dividend has been flat at $0.12/month ($1.44/year) since mid-2020 with zero growth, scoring 0.0 on both consecutive years growth and 5-year dividend CAGR (2x weight) [5]. Payout ratio of approximately 77% (based on annualized H1 2026 GAAP EPS of ~$1.88) is elevated. Liquidity check: ~15M shares/day x $10.76 = $161M daily turnover, easily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AGNC is a quintessential finite-game player in Sinek's framework. The company exists to generate shareholder returns through financial engineering — leveraged MBS spread arbitrage. There is no Just Cause, no transformative purpose, and no vision of a better future beyond capital allocation. The business model has remained unchanged since 2008, reflecting strategic rigidity. Leadership stability and the Great Place to Work certification provide modest trust signals, but the organization fundamentally plays to win each interest rate cycle, not to keep playing toward a larger purpose. Multiple historical dividend cuts underscore the finite orientation.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AGNC's purpose is to generate favorable risk-adjusted returns for stockholders and provide private capital to the housing market — this is functional financial engineering, not a vision of a better future [3]. There is no Just Cause as Sinek defines it. The company exists as a financial vehicle to monetize the spread between Agency MBS yields and repo financing costs. Leadership does not reference any higher purpose in strategic decisions or earnings communications.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AGNC earned Great Place to Work Certification, and the executive team of Federico, Kuehl, and Kain have collaborated for 12+ years with 90+ combined years of MBS experience [3]. The internally managed structure (vs. external management) aligns employee interests directly with shareholders. The small ~60-person team suggests a tight-knit, specialized organization. However, no specific evidence of exceptional psychological safety or employee empowerment beyond the certification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AGNC positions itself as a 'leading' Agency mREIT, and competitive language focuses on portfolio size, returns generated, and cost-of-capital advantages over peers like Annaly Capital Management [3]. No evidence that management frames competition as a learning opportunity or acknowledges rivals' strengths as motivation for self-improvement. The competitive framing is about being the best capital allocator in the Agency MBS space, not about improving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AGNC has operated the identical business model since its 2008 founding — leveraged investment in Agency MBS [1]. The company has not diversified into credit MBS, commercial real estate, or other asset classes in any meaningful way. When the rate environment turned hostile in 2022-2023, AGNC adjusted portfolio duration and leverage ratios but did not reinvent the business. This is strategic rigidity — the company does the same thing in every interest rate environment, adjusting only the magnitude of its bets.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Peter Federico and the leadership team navigated the severe 2022-2023 interest rate shock — the most challenging environment for mREITs in a generation — without cutting the $0.12/month dividend, maintaining portfolio positioning when peers were forced to deleverage [1][2]. Maintaining the dividend and portfolio duration through 400bps of rate hikes reflected conviction in their interest rate outlook. However, this is risk management competence more than courage in service of a Just Cause, and AGNC has cut dividends multiple times historically (from $0.35/month in 2008 to $0.12/month by 2020).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AGNC offers one of the highest dividend yields in public markets at 13.5%, supported by a ~$73B portfolio of government-guaranteed Agency MBS with zero credit risk [1]. Q1 2026 EPS of $0.42 beat the $0.37 consensus with revenue of $1.05B exceeding the $988.6M estimate, and Q2 2026 delivered $654M net income ($0.52 diluted EPS) with a 6.7% economic return and book value increasing $0.20 to $8.58 per share [2]. The internally managed structure aligns costs with shareholders (no external management fees), and the leadership team's 12+ year tenure and 90+ combined years of MBS experience provide deep sector expertise [3]. With the Federal Reserve on an easing trajectory and Agency MBS spreads historically wide, AGNC is positioned to benefit from spread compression and book value appreciation. Forward P/E of 7.3x and the Inspire Insight score of +54 (ALIGNED) add value and governance credibility [4].</w:t>
      </w:r>
    </w:p>
    <w:p>
      <w:pPr>
        <w:spacing w:after="120"/>
      </w:pPr>
      <w:r>
        <w:rPr>
          <w:rFonts w:ascii="Calibri" w:hAnsi="Calibri"/>
          <w:b w:val="0"/>
          <w:color w:val="3A4A28"/>
          <w:sz w:val="20"/>
        </w:rPr>
        <w:t>The bear case centers on structural risks inherent to the mREIT model. AGNC's 7.2x debt-to-equity leverage means small moves in interest rates or MBS spreads produce outsized P&amp;L swings — the 2022-2023 rate shock destroyed approximately 40% of book value [4]. The $0.12/month dividend has been flat since mid-2020 with zero growth, meaning investors receive high current income but no inflation protection — the 5-year dividend CAGR is 0% [5]. Payout ratio of ~77% of GAAP earnings leaves limited margin for book value rebuilding, and the ratio approached 98% just months ago under less favorable conditions. Agency MBS carry zero credit risk but significant prepayment and duration risk, and AGNC's returns are highly correlated to interest rate volatility and yield curve shape. The business model has not evolved since 2008, offering no diversification against a sustained adverse rate environment. Innovation (1/10) and Infinite Game (2/10) scores are inherently low for a financial vehicle, limiting the IOWN composite despite strong AI resilience and faith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driving mortgage spread compression — historically wide Agency MBS spreads offer 50-100bps of tightening potential that would boost AGNC's portfolio returns and book value [2]</w:t>
      </w:r>
    </w:p>
    <w:p>
      <w:pPr>
        <w:spacing w:before="40" w:after="40"/>
        <w:ind w:left="283"/>
      </w:pPr>
      <w:r>
        <w:rPr>
          <w:rFonts w:ascii="Calibri" w:hAnsi="Calibri"/>
          <w:b/>
          <w:color w:val="4A6B25"/>
          <w:sz w:val="20"/>
        </w:rPr>
        <w:t xml:space="preserve">2. </w:t>
      </w:r>
      <w:r>
        <w:rPr>
          <w:rFonts w:ascii="Calibri" w:hAnsi="Calibri"/>
          <w:b w:val="0"/>
          <w:color w:val="3A4A28"/>
          <w:sz w:val="20"/>
        </w:rPr>
        <w:t>Q2 2026 economic return of 6.7% with book value recovery to $8.58 signals the beginning of a multi-quarter book value rebuild from the 2022-2023 rate cycle trough [2]</w:t>
      </w:r>
    </w:p>
    <w:p>
      <w:pPr>
        <w:spacing w:before="40" w:after="40"/>
        <w:ind w:left="283"/>
      </w:pPr>
      <w:r>
        <w:rPr>
          <w:rFonts w:ascii="Calibri" w:hAnsi="Calibri"/>
          <w:b/>
          <w:color w:val="4A6B25"/>
          <w:sz w:val="20"/>
        </w:rPr>
        <w:t xml:space="preserve">3. </w:t>
      </w:r>
      <w:r>
        <w:rPr>
          <w:rFonts w:ascii="Calibri" w:hAnsi="Calibri"/>
          <w:b w:val="0"/>
          <w:color w:val="3A4A28"/>
          <w:sz w:val="20"/>
        </w:rPr>
        <w:t>Q1 2026 earnings beat ($0.42 vs $0.37 consensus, revenue $1.05B vs $988.6M) demonstrates improving net interest margin environment as rate volatility subsides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reversal or renewed inflation could widen Agency MBS spreads and destroy book value — the 7.2x leverage amplifies even modest spread moves into double-digit book value losses [4]</w:t>
      </w:r>
    </w:p>
    <w:p>
      <w:pPr>
        <w:spacing w:before="40" w:after="40"/>
        <w:ind w:left="283"/>
      </w:pPr>
      <w:r>
        <w:rPr>
          <w:rFonts w:ascii="Calibri" w:hAnsi="Calibri"/>
          <w:b/>
          <w:color w:val="4A6B25"/>
          <w:sz w:val="20"/>
        </w:rPr>
        <w:t xml:space="preserve">2. </w:t>
      </w:r>
      <w:r>
        <w:rPr>
          <w:rFonts w:ascii="Calibri" w:hAnsi="Calibri"/>
          <w:b w:val="0"/>
          <w:color w:val="3A4A28"/>
          <w:sz w:val="20"/>
        </w:rPr>
        <w:t>Zero dividend growth since mid-2020 ($0.12/month flat for 6+ years) with a history of multiple cuts (from $0.35/month in 2008) provides no inflation protection and signals structural earnings pressure [5]</w:t>
      </w:r>
    </w:p>
    <w:p>
      <w:pPr>
        <w:spacing w:before="40" w:after="40"/>
        <w:ind w:left="283"/>
      </w:pPr>
      <w:r>
        <w:rPr>
          <w:rFonts w:ascii="Calibri" w:hAnsi="Calibri"/>
          <w:b/>
          <w:color w:val="4A6B25"/>
          <w:sz w:val="20"/>
        </w:rPr>
        <w:t xml:space="preserve">3. </w:t>
      </w:r>
      <w:r>
        <w:rPr>
          <w:rFonts w:ascii="Calibri" w:hAnsi="Calibri"/>
          <w:b w:val="0"/>
          <w:color w:val="3A4A28"/>
          <w:sz w:val="20"/>
        </w:rPr>
        <w:t>Structural dependence on yield curve shape and Fed policy means AGNC's returns are driven by macro factors entirely outside management's control, limiting the value of active stock selection vs. passive mREIT sector exposure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AGNC's core business — leveraged investment in Agency MBS guaranteed by Fannie Mae, Freddie Mac, and Ginnie Mae — is structurally immune to AI disruption [1]. AI cannot replace government-guaranteed mortgage bonds, the GSE guarantee structure, or the fundamental need for housing finance. The business involves purchasing fixed-income securities with leverage — a function requiring capital and risk management, not technology products. AI-enhanced prepayment and interest rate modeling may actually benefit AGNC's hedging capabilities. No analysts have flagged AI as a displacement risk for agency mREITs [2]. AI Opportunity (0/1): AGNC generates zero revenue from AI products or services. The company may use quantitative models for portfolio management, but these do not constitute AI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AGNC Investment Q1 2026 Earnings Release — EPS $0.42 vs. $0.37 expected, Revenue $1.05B, Investing.com Transcript, May 2026</w:t>
      </w:r>
    </w:p>
    <w:p>
      <w:pPr>
        <w:spacing w:before="20" w:after="20"/>
        <w:ind w:left="170"/>
      </w:pPr>
      <w:r>
        <w:rPr>
          <w:rFonts w:ascii="Calibri" w:hAnsi="Calibri"/>
          <w:b/>
          <w:color w:val="4A6B25"/>
          <w:sz w:val="15"/>
        </w:rPr>
        <w:t xml:space="preserve">2. </w:t>
      </w:r>
      <w:r>
        <w:rPr>
          <w:rFonts w:ascii="Calibri" w:hAnsi="Calibri"/>
          <w:b w:val="0"/>
          <w:color w:val="3A4A28"/>
          <w:sz w:val="17"/>
        </w:rPr>
        <w:t>AGNC Investment Q2 2026 Financial Results (10-Q/8-K) — Net income $654M, Diluted EPS $0.52, Book value $8.58, 6.7% economic return, StockTitan/SEC, July 2026</w:t>
      </w:r>
    </w:p>
    <w:p>
      <w:pPr>
        <w:spacing w:before="20" w:after="20"/>
        <w:ind w:left="170"/>
      </w:pPr>
      <w:r>
        <w:rPr>
          <w:rFonts w:ascii="Calibri" w:hAnsi="Calibri"/>
          <w:b/>
          <w:color w:val="4A6B25"/>
          <w:sz w:val="15"/>
        </w:rPr>
        <w:t xml:space="preserve">3. </w:t>
      </w:r>
      <w:r>
        <w:rPr>
          <w:rFonts w:ascii="Calibri" w:hAnsi="Calibri"/>
          <w:b w:val="0"/>
          <w:color w:val="3A4A28"/>
          <w:sz w:val="17"/>
        </w:rPr>
        <w:t>AGNC Investment Corporate Website — About Us, ESG Report (4th Annual), Great Place to Work Certification, Leadership Team,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AGNC Key Statistics: P/E 8.79, Forward P/E 7.29, D/E 717%, ROE 19.8%,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AGNC Dividend History — $0.12/month since June 2020, 13.53% yield, 18 consecutive years paid, 0% 5yr growth CAGR, MerryDiv/DividendMax,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