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AGX</w:t>
      </w:r>
      <w:r>
        <w:rPr>
          <w:rFonts w:ascii="Calibri" w:hAnsi="Calibri"/>
          <w:b/>
          <w:color w:val="1A2010"/>
          <w:sz w:val="40"/>
        </w:rPr>
        <w:t xml:space="preserve">  Argan, Inc.</w:t>
      </w:r>
    </w:p>
    <w:p>
      <w:pPr>
        <w:spacing w:after="120"/>
      </w:pPr>
      <w:r>
        <w:rPr>
          <w:rFonts w:ascii="Calibri" w:hAnsi="Calibri"/>
          <w:b/>
          <w:color w:val="6E8450"/>
          <w:sz w:val="18"/>
        </w:rPr>
        <w:t>GROWTH SLEEVE · 2026-08-20 · Inspire: 53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Engineering &amp; Construction · NYSE · United States</w:t>
      </w:r>
    </w:p>
    <w:p>
      <w:pPr>
        <w:spacing w:after="80"/>
      </w:pPr>
      <w:r>
        <w:rPr>
          <w:rFonts w:ascii="Calibri" w:hAnsi="Calibri"/>
          <w:b w:val="0"/>
          <w:color w:val="3A4A28"/>
          <w:sz w:val="20"/>
        </w:rPr>
        <w:t>Argan is a holding company operating through Power, Industrial, and Teledata segments, primarily through its wholly-owned subsidiary Gemma Power Systems — a leading EPC contractor for natural gas-fired power plants with nearly 20 GW of installed capacity. The 'Gas-to-Data' strategy positions the company to build power plants supplying electricity to hyperscale AI data centers. FY2026 (ending Jan 31, 2026) revenue of $944.61M, net income $137.8M ($9.74 EPS), with a virtually debt-free balance sheet holding $973.56M in cash. Record project backlog of $2.9B at year-end with $2.5B in new contracts added during the year. Q1 FY2027 revenue surged 50% YoY to $291M. Headquartered in Rockville, Maryland. CEO David Watson since August 2022.</w:t>
      </w:r>
    </w:p>
    <w:p>
      <w:r>
        <w:rPr>
          <w:rFonts w:ascii="Calibri" w:hAnsi="Calibri"/>
          <w:b/>
          <w:color w:val="6E8450"/>
          <w:sz w:val="18"/>
        </w:rPr>
        <w:t>1,410 Employees · https://arganinc.com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Argan has successfully repositioned Gemma Power Systems from a traditional gas-fired power plant EPC contractor into a strategic beneficiary of the AI data center buildout through its 'Gas-to-Data' strategy — securing contracts for high-efficiency combined-cycle natural gas plants designed specifically to power hyperscale data center clusters [1][3]. The 1,350 MW Texas combined-cycle contract received in October 2025 exemplifies this pivot. The company also expanded into renewables (solar, wind) with Gemma Renewable Power earning the 2025 Nexus Award for Partner of the Year [3]. However, the core competency remains EPC power plant construction — the pivot is a strategic repositioning of existing capabilities, not a transformative reinvention. AI Deployment (0/2): No AI-powered products or AI-driven operational efficiencies reported. Argan builds physical power infrastructure; the company does not deploy AI technology in its own services or operations [1]. Market Share (1/2): Gemma Power Systems has nearly 20 GW of installed capacity, making it a significant U.S. gas-fired power plant EPC contractor. The $2.9B record backlog and $2.5B in new FY2026 contracts demonstrate growing market position, particularly in data center-adjacent power generation [1][3]. However, Argan competes against much larger EPC firms (Bechtel, Fluor, KBR) and does not hold dominant category share. Product Pipeline (2/2): The $2.8B backlog at Q1 FY2027 provides 9-10 quarters of revenue visibility, with work extending into 2028 and beyond. Management anticipates adding new projects over the next 10-18 months, supported by accelerating demand from AI data center power, electrification, and aging infrastructure replacement [1][2]. R&amp;D Intensity (0/1): As an EPC construction company, Argan's R&amp;D spending is minimal relative to revenue. Innovation comes through project execution excellence and strategic positioning rather than traditional R&amp;D investment.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Argan's stated purpose — reducing carbon emissions during the energy transition without compromising reliability — is clear and connects EPC construction to a broader societal challenge [3][5]. The framing positions natural gas as a transition fuel bridging coal retirements to a lower-carbon future, which is specific enough to guide strategic decisions (prioritizing high-efficiency combined-cycle plants over simple-cycle peakers). However, the purpose is inherently limited by the tension between 'reducing emissions' and building gas-fired plants that still emit CO2, and it has not been tested through decades of consistent execution under the current leadership team (CEO Watson since 2022). Community Impact (1/2): Gemma Renewable Power earned the 2025 Nexus Award for Partner of the Year, indicating industry-recognized contributions to renewable energy development [3]. However, no specific charitable foundation, community investment programs, or dollar amounts for philanthropic activity were identified beyond standard corporate sustainability practices. Employee Retention (1/2): Glassdoor reviews describe a 'fantastic family atmosphere' with 'friendly managers and approachable owners' and 'great benefits,' suggesting a positive culture in a small company of ~1,410 employees [3]. However, some reviews note limited career growth opportunities, and no specific retention or tenure data is available. The intimate company size supports personal relationships but limits career mobility. Insider Buying (0/2): Management authorized a $200M share buyback program, but corporate buybacks are not insider buying [2]. No evidence of meaningful net insider buying by individual executives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Argan's balance sheet is exceptionally strong with D/E of just 2% — effectively debt-free with $973.56M in cash against $9.58M in debt [4]. ROE of 38.52% greatly exceeds the 15% target, reflecting efficient capital deployment despite the large cash position. Profit margin of 15.48% is above average for EPC construction (0.77 metric score) but below the 20% target [4]. Revenue growth YoY of 8.06% for FY2026 narrowly misses the 10% target (0.94 metric score), though Q1 FY2027 accelerated to 50% growth [1][2]. Estimated 5yr revenue CAGR of ~18% exceeds the 10% target. The major drags are the premium valuation — Forward P/E of 50.63 is well above the 20 target (0.23 metric score) — and PEG of 4.95 which exceeds the 3.0 floor, scoring 0.0 with 2x weight [4]. The elevated PEG reflects the market pricing in sustained growth that long-term estimates (10.2% implied) do not fully support. Liquidity is ample at ~$220M daily trading value ($625 x 351,680 avg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Argan operates as a competent, well-managed EPC contractor with strong execution and financial discipline, but lacks the deep sense of purpose and organizational characteristics that define infinite game players. The energy transition mission is genuine but limited by the inherent tension between building gas-fired plants and reducing emissions. CEO David Watson, in role since August 2022, has not yet had the tenure to demonstrate multi-cycle purpose consistency. The small company size (~1,410 employees) creates a family-like culture but limits organizational depth. Argan is playing to execute well and capitalize on the AI power demand opportunity — a pragmatic finite game approach that serves shareholders effectively but does not constitute infinite game thinking in Sinek's framework.</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Argan's stated purpose — reducing carbon emissions during the energy transition without compromising reliability — exists and is specific to the company's domain, but reads more as strategic positioning than a deeply-held Just Cause [3]. The framing of natural gas as a transition fuel is pragmatic rather than idealistic, and the company's primary growth driver (Gas-to-Data) is driven by market opportunity rather than cause alignment. Building gas-fired power plants for AI data centers generates profits and serves a real infrastructure need, but it does not describe a future state 'so appealing that people will sacrifice to advance it' in Sinek's terms. CEO Watson (since 2022) has not had sufficient tenure to demonstrate whether this purpose survives downturns or guides costly decisions against short-term interests.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Argan's small size (~1,410 employees) creates a company culture that Glassdoor reviewers describe as a 'fantastic family atmosphere' with 'friendly managers and approachable owners' and 'great benefits' [3]. The intimate scale supports personal relationships and direct communication characteristic of high-trust environments. However, some reviews note limited career growth opportunities and insufficient investment in employee development — suggesting the family atmosphere may mask structural limitations in organizational development. No specific retention, tenure, or voluntary turnover data is available to confirm whether the cultural indicators translate into measurable trust outcomes.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was found in Argan's public communications. Management commentary focuses on backlog growth, contract wins, and market positioning rather than learning from competitors' strengths [1][2]. The company competes against larger EPC firms (Bechtel, Fluor, KBR) but does not publicly acknowledge these as worthy rivals whose capabilities drive Argan's self-improvement. The competitive framing is about Argan's own niche advantages (speed, Gas-to-Data positioning) rather than competitive learning.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Argan has evolved its business model from traditional gas-fired power plant construction to include renewable energy (solar, wind through Gemma Renewable Power) and the Gas-to-Data strategy positioning for AI data center power demand [3][5]. The addition of the Teledata segment and the strategic repositioning toward hyperscale power customers represent meaningful adaptation. However, the core competency remains EPC power plant construction — the company has entered adjacent markets and served new customers with existing capabilities rather than fundamentally reinventing its business model. The changes are incremental evolution, not the transformative self-disruption Sinek describes.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Argan committed early to the Gas-to-Data strategy, securing large-scale contracts for power plants serving AI data centers before the AI power demand thesis was consensus. The 1,350 MW Texas combined-cycle contract ($1B+) and $2.5B in new FY2026 contracts represent significant capital commitments [1][3]. The company also maintains a fortress balance sheet ($973.56M cash, virtually no debt) which, while conservative, demonstrates discipline in resisting the temptation to leverage for faster growth. However, these decisions align financial interest with market opportunity — they are smart bets, not costly sacrifices. There is no evidence of Argan walking away from profitable but misaligned revenue or making decisions that prioritized purpose over earnings.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Argan is a pure-play beneficiary of the AI-driven power infrastructure buildout, with its Gas-to-Data strategy generating a record $2.9B backlog (+115% from FY2025 opening) that provides 9-10 quarters of revenue visibility into 2028 [1]. FY2026 revenue of $944.61M with net income of $137.8M ($9.74 EPS) demonstrates profitable execution, and Q1 FY2027 accelerated to $291M (+50% YoY) with stronger margins and cash generation [2]. The fortress balance sheet — $973.56M cash against $9.58M debt (D/E 2%) — provides exceptional financial flexibility and eliminates balance sheet risk entirely. ROE of 38.52% reflects efficient capital deployment, and the $200M buyback authorization signals confidence in sustainable cash generation [2][4]. As hyperscalers race to deploy AI capacity, the structural need for baseload gas-fired power to supplement intermittent renewables creates a multi-year demand tailwind that Gemma Power Systems is uniquely positioned to capture with its 20 GW of installed capacity experience [3][5].</w:t>
      </w:r>
    </w:p>
    <w:p>
      <w:pPr>
        <w:spacing w:after="120"/>
      </w:pPr>
      <w:r>
        <w:rPr>
          <w:rFonts w:ascii="Calibri" w:hAnsi="Calibri"/>
          <w:b w:val="0"/>
          <w:color w:val="3A4A28"/>
          <w:sz w:val="20"/>
        </w:rPr>
        <w:t>The bear case centers squarely on valuation and concentration risk. At Forward P/E 50.63 and PEG 4.95 (well above the 3.0 floor), Argan is priced as a hypergrowth company on FY2026 revenue that grew only 8.06% — the stock's +193.54% 52-week return has dramatically outpaced fundamental improvement [4]. The implied long-term earnings growth rate of ~10.2% embedded in the PEG does not support the current multiple, creating significant downside if AI data center capex growth moderates. Heavy concentration in natural gas-fired plants (~70%+ of backlog) exposes Argan to regulatory risk from faster decarbonization mandates or shifts toward distributed generation, nuclear, or advanced renewables that bypass gas-fired baseload [5]. The $2.8B backlog at Q1 FY2027 (down from $2.9B at FY2026 year-end) hints at potential moderation in new contract wins after the FY2026 intake surge. CEO David Watson has been in role only since August 2022, and the company's 1,410-employee workforce creates execution risk on billion-dollar EPC contracts where project delays or cost overruns can materially impact profitability. The 0.32% dividend yield provides negligible income support during any share price correction. Inspire Impact Score of 53 (ALIGNED) is positive for faith-based investors, but the company's fossil fuel focus may create screening tension for ESG-oriented mandates despite the energy transition framing.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data center power demand accelerating with Q1 FY2027 revenue surging 50% YoY to $291M — management anticipates adding new projects over the next 10-18 months as hyperscalers and semiconductor manufacturers require dedicated power generation facilities [1][2]</w:t>
      </w:r>
    </w:p>
    <w:p>
      <w:pPr>
        <w:spacing w:before="40" w:after="40"/>
        <w:ind w:left="283"/>
      </w:pPr>
      <w:r>
        <w:rPr>
          <w:rFonts w:ascii="Calibri" w:hAnsi="Calibri"/>
          <w:b/>
          <w:color w:val="4A6B25"/>
          <w:sz w:val="20"/>
        </w:rPr>
        <w:t xml:space="preserve">2. </w:t>
      </w:r>
      <w:r>
        <w:rPr>
          <w:rFonts w:ascii="Calibri" w:hAnsi="Calibri"/>
          <w:b w:val="0"/>
          <w:color w:val="3A4A28"/>
          <w:sz w:val="20"/>
        </w:rPr>
        <w:t>Fortress balance sheet with $973.56M cash and $200M buyback authorization provides optionality for accretive capital deployment, debt-free project execution, and shareholder returns as backlog converts to revenue [2][4]</w:t>
      </w:r>
    </w:p>
    <w:p>
      <w:pPr>
        <w:spacing w:before="40" w:after="40"/>
        <w:ind w:left="283"/>
      </w:pPr>
      <w:r>
        <w:rPr>
          <w:rFonts w:ascii="Calibri" w:hAnsi="Calibri"/>
          <w:b/>
          <w:color w:val="4A6B25"/>
          <w:sz w:val="20"/>
        </w:rPr>
        <w:t xml:space="preserve">3. </w:t>
      </w:r>
      <w:r>
        <w:rPr>
          <w:rFonts w:ascii="Calibri" w:hAnsi="Calibri"/>
          <w:b w:val="0"/>
          <w:color w:val="3A4A28"/>
          <w:sz w:val="20"/>
        </w:rPr>
        <w:t>FY2027 consensus estimates of 38% revenue growth and 29.4% EPS growth, supported by $2.8B backlog extending into 2028+, with diversification into semiconductor, pharmaceutical, and manufacturing power needs reducing pure-play AI concentration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valuation premium (Forward P/E 50.63, PEG 4.95, +193.54% 52-week return) creates severe downside risk — if AI data center capex moderates or the company's growth decelerates from the Q1 FY2027 pace of 50%, the multiple compression could erase 40-50% of market value [4]</w:t>
      </w:r>
    </w:p>
    <w:p>
      <w:pPr>
        <w:spacing w:before="40" w:after="40"/>
        <w:ind w:left="283"/>
      </w:pPr>
      <w:r>
        <w:rPr>
          <w:rFonts w:ascii="Calibri" w:hAnsi="Calibri"/>
          <w:b/>
          <w:color w:val="4A6B25"/>
          <w:sz w:val="20"/>
        </w:rPr>
        <w:t xml:space="preserve">2. </w:t>
      </w:r>
      <w:r>
        <w:rPr>
          <w:rFonts w:ascii="Calibri" w:hAnsi="Calibri"/>
          <w:b w:val="0"/>
          <w:color w:val="3A4A28"/>
          <w:sz w:val="20"/>
        </w:rPr>
        <w:t>Heavy concentration in natural gas-fired power plant construction (~70%+ of backlog) creates regulatory and policy risk from potential decarbonization mandates, carbon pricing, or competitive displacement by nuclear, geothermal, or advanced renewable baseload technologies [5]</w:t>
      </w:r>
    </w:p>
    <w:p>
      <w:pPr>
        <w:spacing w:before="40" w:after="40"/>
        <w:ind w:left="283"/>
      </w:pPr>
      <w:r>
        <w:rPr>
          <w:rFonts w:ascii="Calibri" w:hAnsi="Calibri"/>
          <w:b/>
          <w:color w:val="4A6B25"/>
          <w:sz w:val="20"/>
        </w:rPr>
        <w:t xml:space="preserve">3. </w:t>
      </w:r>
      <w:r>
        <w:rPr>
          <w:rFonts w:ascii="Calibri" w:hAnsi="Calibri"/>
          <w:b w:val="0"/>
          <w:color w:val="3A4A28"/>
          <w:sz w:val="20"/>
        </w:rPr>
        <w:t>Project concentration risk inherent in large-scale EPC contracts — with only ~1,410 employees executing billion-dollar projects, a single major cost overrun, construction delay, or contract dispute could materially impact annual earnings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Argan's core business is IMMUNE to AI disruption — the company builds physical natural gas-fired power plants and renewable energy facilities through EPC contracts that require engineering expertise, heavy construction equipment, regulatory permitting, and on-site labor that no AI system can substitute [3][5]. More importantly, AI is the primary demand catalyst for Argan's business: the 'Gas-to-Data' strategy directly builds the power generation infrastructure needed to supply electricity to hyperscale AI data centers. Analyst coverage explicitly identifies Argan as offering 'AI-proof growth' because the physical power infrastructure must be built regardless of which AI platforms succeed [5]. The more AI scales, the more power plants must be constructed — Argan's record $2.9B backlog is substantially driven by AI-related power demand [1]. Regulatory moats (FERC, state public utility commissions, environmental permits, construction codes) create additional layers of protection that cannot be circumvented by software. AI Opportunity (1/1): Argan generates substantial AI-linked revenue through its Gas-to-Data strategy. The record backlog of $2.9B is driven by contracts for power plants serving AI data center clusters, and Q1 FY2027 revenue growth of 50% YoY is directly attributable to accelerating AI power demand [1][2][5]. This is quantifiable, material revenue tied to AI infrastructure buildout.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Argan FY2026 Annual Results (Year Ending Jan 31, 2026) — Revenue $944.61M (+8.06%), Net Income $137.8M, EPS $9.74, Q4 EPS $3.47 (Beat), $2.5B New Contracts, Backlog $2.9B — BusinessWire, March 2026</w:t>
      </w:r>
    </w:p>
    <w:p>
      <w:pPr>
        <w:spacing w:before="20" w:after="20"/>
        <w:ind w:left="170"/>
      </w:pPr>
      <w:r>
        <w:rPr>
          <w:rFonts w:ascii="Calibri" w:hAnsi="Calibri"/>
          <w:b/>
          <w:color w:val="4A6B25"/>
          <w:sz w:val="15"/>
        </w:rPr>
        <w:t xml:space="preserve">2. </w:t>
      </w:r>
      <w:r>
        <w:rPr>
          <w:rFonts w:ascii="Calibri" w:hAnsi="Calibri"/>
          <w:b w:val="0"/>
          <w:color w:val="3A4A28"/>
          <w:sz w:val="17"/>
        </w:rPr>
        <w:t>Argan Q1 FY2027 Results (Quarter Ending April 30, 2026) — Revenue $291M (+50% YoY), Backlog $2.8B, $200M Buyback Authorization, FY2027 Revenue Growth 38% / EPS Growth 29.4% Consensus — BusinessWire, Motley Fool, June 2026</w:t>
      </w:r>
    </w:p>
    <w:p>
      <w:pPr>
        <w:spacing w:before="20" w:after="20"/>
        <w:ind w:left="170"/>
      </w:pPr>
      <w:r>
        <w:rPr>
          <w:rFonts w:ascii="Calibri" w:hAnsi="Calibri"/>
          <w:b/>
          <w:color w:val="4A6B25"/>
          <w:sz w:val="15"/>
        </w:rPr>
        <w:t xml:space="preserve">3. </w:t>
      </w:r>
      <w:r>
        <w:rPr>
          <w:rFonts w:ascii="Calibri" w:hAnsi="Calibri"/>
          <w:b w:val="0"/>
          <w:color w:val="3A4A28"/>
          <w:sz w:val="17"/>
        </w:rPr>
        <w:t>Gemma Power Systems — 20 GW Installed Capacity, 1,350 MW Texas Combined-Cycle Contract (Oct 2025), Gas-to-Data Strategy, Gemma Renewable Power Nexus Award — Company Press Releases, 2025-2026</w:t>
      </w:r>
    </w:p>
    <w:p>
      <w:pPr>
        <w:spacing w:before="20" w:after="20"/>
        <w:ind w:left="170"/>
      </w:pPr>
      <w:r>
        <w:rPr>
          <w:rFonts w:ascii="Calibri" w:hAnsi="Calibri"/>
          <w:b/>
          <w:color w:val="4A6B25"/>
          <w:sz w:val="15"/>
        </w:rPr>
        <w:t xml:space="preserve">4. </w:t>
      </w:r>
      <w:r>
        <w:rPr>
          <w:rFonts w:ascii="Calibri" w:hAnsi="Calibri"/>
          <w:b w:val="0"/>
          <w:color w:val="3A4A28"/>
          <w:sz w:val="17"/>
        </w:rPr>
        <w:t>StockAnalysis, GuruFocus, Yahoo Finance — AGX Key Statistics: Forward P/E 50.63, PEG 4.95, ROE 38.52%, D/E 2%, Profit Margin 15.48%, Cash $973.56M, Stock Price ~$625, Avg Volume 351,680,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Seeking Alpha, CMC Markets — 'AI Power Demand Has Created A New Growth Lane', 'Still Fueling America's AI', 'Does Argan Offer AI-Proof Growth?' — AGX Power-for-AI Thesis Analysis,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