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AHCO</w:t>
      </w:r>
      <w:r>
        <w:rPr>
          <w:rFonts w:ascii="Calibri" w:hAnsi="Calibri"/>
          <w:b/>
          <w:color w:val="1A2010"/>
          <w:sz w:val="40"/>
        </w:rPr>
        <w:t xml:space="preserve">  AdaptHealth Corp.</w:t>
      </w:r>
    </w:p>
    <w:p>
      <w:pPr>
        <w:spacing w:after="120"/>
      </w:pPr>
      <w:r>
        <w:rPr>
          <w:rFonts w:ascii="Calibri" w:hAnsi="Calibri"/>
          <w:b/>
          <w:color w:val="6E8450"/>
          <w:sz w:val="18"/>
        </w:rPr>
        <w:t>GROWTH SLEEVE · 2026-08-04 · Inspire: 34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AdaptHealth distributes home medical equipment (HME), medical supplies, and home healthcare services across the United States through four segments: Sleep Health, Respiratory Health, Diabetes Health, and Wellness at Home. The company services Medicare, Medicaid, and commercial insurance beneficiaries with CPAP machines, oxygen concentrators, insulin pumps, CGMs, wheelchairs, and other HME devices.</w:t>
      </w:r>
    </w:p>
    <w:p>
      <w:r>
        <w:rPr>
          <w:rFonts w:ascii="Calibri" w:hAnsi="Calibri"/>
          <w:b/>
          <w:color w:val="6E8450"/>
          <w:sz w:val="18"/>
        </w:rPr>
        <w:t>10,900 Employees · https://adapthealth.com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AdaptHealth has executed incremental operational improvements under CEO Suzanne Foster (appointed May 2024) but no transformative product launches or business model pivots — growth has come primarily through M&amp;A consolidation in a fragmented HME market [1]. AI Deployment (1/2): The company deployed AI-powered self-scheduling for CPAP setups and a self-pay feature in MyApp, eliminating the need for customer service interaction — modest but measurable efficiency gains [2]. Market Share (1/2): AdaptHealth is a meaningful player in the HME distribution space with ~$3.3B TTM revenue but operates in a highly fragmented market without dominant share; the capitated contract covering ~50,000 members is a share-gaining initiative but has not yet established leadership [1]. Pipeline (1/2): Q1 2026 organic growth of 9.1% was broad-based across all four segments, and the capitated care model is scaling, but pipeline visibility beyond current contracts is limited [1]. R&amp;D Intensity (0/1): As a distributor, AdaptHealth spends minimally on R&amp;D — innovation is operational rather than product-driven.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AdaptHealth's purpose centers on empowering patients to live their best lives at home through HME and services — clear and healthcare-specific but not distinctive among HME companies [3]. Community Impact (1/2): The company serves Medicare and Medicaid beneficiaries, providing essential medical equipment to underserved populations, but no specific charitable programs or foundation activity was identified [3]. Employee Retention (0/2): Glassdoor rating has deteriorated to 2.9/5 (873 reviews) with significant complaints about overwork, understaffing, constant leadership changes, and upper management playing politics — employees describe a low-trust environment [4]. Insider Buying (1/2): Notable insider buying: OEP VII purchased $19.9M in shares at $9.73 in March 2026 and Director Dale Wolf bought $71,680 in shares, showing insider conviction at depressed prices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revenue of $819.8M beat estimates by 2.95% with 5.4% YoY growth and 9.1% organic growth, leading management to raise FY2026 revenue guidance to $3.45-3.52B [1]. However, EPS of -$0.12 missed the $0.01 estimate as capitated contract integration elevated labor costs and compressed margins [1]. Forward P/E of ~11.2x is attractive based on consensus FY2026 EPS of $0.87, but negative trailing ROE of -4.85% and negative profit margin of -2.18% drag down the composite [5]. D/E of 113% reflects the leveraged acquisition strategy with $2.0B debt against $48M cash. Revenue growth 5yr CAGR of ~3% is below target. Liquidity check passed: ~1.4M avg volume x $9.74 = $13.6M daily liquidity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AdaptHealth under CEO Suzanne Foster is pivoting from an acquisition-driven growth model to organic efficiency and capitated care, with Q1 2026's 9.1% organic growth validating the shift. However, the company's 2.9/5 Glassdoor rating, constant leadership turnover, and unproven capitated model suggest it is still finding its long-term identity rather than playing a clearly infinite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AdaptHealth's purpose of empowering patients to live their best lives at home is genuine healthcare-focused but reads as an operational description rather than a transformative Just Cause. The company exists to distribute HME efficiently — a worthwhile function but not a vision of a future state so compelling people sacrifice to advance it. No evidence the mission shapes strategic decisions beyond standard healthcare delivery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has deteriorated to 2.9/5 with 873 reviews citing constant leadership changes, upper management politics, overwork, and understaffing [4]. The CEO, COO, and CCO have all changed within the past two years, creating organizational instability. While Foster's Danaher background brings operational discipline, the evidence points to a low-trust environment where employees feel unheard and expendable.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AdaptHealth's competitive language focuses on consolidation and market share gains through M&amp;A and capitated contract wins rather than learning from rivals or improving through competitive pressure.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shift from acquisition-driven growth to capitated care models and organic growth under Foster represents meaningful strategic evolution. Q1 2026's 9.1% organic growth across all four segments validates the new direction, and the capitated contract model is a genuinely new business approach for AHCO — adaptive but not yet transformative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Foster took an early go-live on the massive capitated contract despite short-term margin pressure — Q1 2026 EPS missed estimates as elevated labor costs compressed margins during integration [1]. She also pivoted the company from M&amp;A growth to operational efficiency, sacrificing near-term earnings for long-term capability. However, the transformation is still early and unproven.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AdaptHealth's Q1 2026 results showed a company in transition: revenue of $819.8M beat estimates by 2.95% with 5.4% total and 9.1% organic growth across all four segments, leading management to raise FY2026 revenue guidance to $3.45-3.52B while maintaining $680-730M EBITDA guidance [1]. At ~11x forward earnings on consensus $0.87 EPS, the stock trades at a significant discount to healthcare peers. The capitated care model is gaining traction, significant insider buying ($19.9M by OEP VII at $9.73) signals institutional conviction, and the physical HME distribution model is structurally immune to AI disruption [5]. If Foster can execute the margin recovery while sustaining organic growth, the earnings inflection from loss to ~$0.87 EPS represents compelling turnaround optionality.</w:t>
      </w:r>
    </w:p>
    <w:p>
      <w:pPr>
        <w:spacing w:after="120"/>
      </w:pPr>
      <w:r>
        <w:rPr>
          <w:rFonts w:ascii="Calibri" w:hAnsi="Calibri"/>
          <w:b w:val="0"/>
          <w:color w:val="3A4A28"/>
          <w:sz w:val="20"/>
        </w:rPr>
        <w:t>The bear case centers on margin execution risk and financial fragility. Q1 2026 EPS of -$0.12 badly missed the $0.01 estimate as capitated contract integration drove elevated labor costs that compressed margins across the business [1]. D/E of 113% with $2.0B debt against just $48M cash constrains flexibility during the transformation. Glassdoor has deteriorated to 2.9/5 with complaints about constant leadership turnover, overwork, and management politics — a culture problem that could undermine the operational improvements Foster is targeting [4]. Revenue growth remains modest (5.4% YoY, 3% 5yr CAGR), and the capitated model is unproven at scale. Medicare/Medicaid reimbursement rate pressure from federal budget constraints could further compress margins on the majority of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Capitated care contract scaling with Q2 2026 revenue guided at $840-860M, driving sustained organic growth above 5% and establishing a recurring revenue model [1]</w:t>
      </w:r>
    </w:p>
    <w:p>
      <w:pPr>
        <w:spacing w:before="40" w:after="40"/>
        <w:ind w:left="283"/>
      </w:pPr>
      <w:r>
        <w:rPr>
          <w:rFonts w:ascii="Calibri" w:hAnsi="Calibri"/>
          <w:b/>
          <w:color w:val="4A6B25"/>
          <w:sz w:val="20"/>
        </w:rPr>
        <w:t xml:space="preserve">2. </w:t>
      </w:r>
      <w:r>
        <w:rPr>
          <w:rFonts w:ascii="Calibri" w:hAnsi="Calibri"/>
          <w:b w:val="0"/>
          <w:color w:val="3A4A28"/>
          <w:sz w:val="20"/>
        </w:rPr>
        <w:t>Earnings inflection from Q1 2026 loss (-$0.12 EPS) to consensus $0.87 full-year EPS as labor cost normalization and volume leverage improve margins through H2 2026 [1]</w:t>
      </w:r>
    </w:p>
    <w:p>
      <w:pPr>
        <w:spacing w:before="40" w:after="40"/>
        <w:ind w:left="283"/>
      </w:pPr>
      <w:r>
        <w:rPr>
          <w:rFonts w:ascii="Calibri" w:hAnsi="Calibri"/>
          <w:b/>
          <w:color w:val="4A6B25"/>
          <w:sz w:val="20"/>
        </w:rPr>
        <w:t xml:space="preserve">3. </w:t>
      </w:r>
      <w:r>
        <w:rPr>
          <w:rFonts w:ascii="Calibri" w:hAnsi="Calibri"/>
          <w:b w:val="0"/>
          <w:color w:val="3A4A28"/>
          <w:sz w:val="20"/>
        </w:rPr>
        <w:t>AI-powered operational efficiencies (self-scheduling, MyApp automation) reducing customer service costs and improving patient throughput across the Sleep Health segment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Medicare/Medicaid reimbursement rate pressure — federal budget constraints could reduce HME payment rates, directly compressing margins on the majority of AdaptHealth's $3.5B revenue base [1]</w:t>
      </w:r>
    </w:p>
    <w:p>
      <w:pPr>
        <w:spacing w:before="40" w:after="40"/>
        <w:ind w:left="283"/>
      </w:pPr>
      <w:r>
        <w:rPr>
          <w:rFonts w:ascii="Calibri" w:hAnsi="Calibri"/>
          <w:b/>
          <w:color w:val="4A6B25"/>
          <w:sz w:val="20"/>
        </w:rPr>
        <w:t xml:space="preserve">2. </w:t>
      </w:r>
      <w:r>
        <w:rPr>
          <w:rFonts w:ascii="Calibri" w:hAnsi="Calibri"/>
          <w:b w:val="0"/>
          <w:color w:val="3A4A28"/>
          <w:sz w:val="20"/>
        </w:rPr>
        <w:t>Margin execution risk on capitated contract — Q1 2026 demonstrated that integration labor costs can overwhelm revenue gains, and the model remains unproven at scale [1]</w:t>
      </w:r>
    </w:p>
    <w:p>
      <w:pPr>
        <w:spacing w:before="40" w:after="40"/>
        <w:ind w:left="283"/>
      </w:pPr>
      <w:r>
        <w:rPr>
          <w:rFonts w:ascii="Calibri" w:hAnsi="Calibri"/>
          <w:b/>
          <w:color w:val="4A6B25"/>
          <w:sz w:val="20"/>
        </w:rPr>
        <w:t xml:space="preserve">3. </w:t>
      </w:r>
      <w:r>
        <w:rPr>
          <w:rFonts w:ascii="Calibri" w:hAnsi="Calibri"/>
          <w:b w:val="0"/>
          <w:color w:val="3A4A28"/>
          <w:sz w:val="20"/>
        </w:rPr>
        <w:t>Deteriorating employee culture (2.9/5 Glassdoor, constant leadership changes) undermining operational improvements and creating retention risk during a critical transformation period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AdaptHealth's core business involves physical distribution and in-home setup of medical equipment (CPAP machines, oxygen concentrators, wheelchairs, insulin pumps) — operations requiring hands-on patient interaction, Medicare/Medicaid compliance, prescription verification, and equipment fitting that are structurally immune to AI substitution [1]. The home healthcare services segment and payer relationship management add regulatory moats that AI cannot replicate. AI is more likely to increase demand for remote patient monitoring equipment than to disrupt the distribution model. AI Opportunity (1/1): AdaptHealth is actively deploying AI for operational efficiency — AI-powered self-scheduling for CPAP setups, automated patient interactions via MyApp, and process automation are generating measurable cost savings and improving patient throughput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AdaptHealth Corp. Q1 2026 Earnings Release — $819.8M revenue (5.4% YoY), raised FY2026 guidance to $3.45-3.52B, May 2026</w:t>
      </w:r>
    </w:p>
    <w:p>
      <w:pPr>
        <w:spacing w:before="20" w:after="20"/>
        <w:ind w:left="170"/>
      </w:pPr>
      <w:r>
        <w:rPr>
          <w:rFonts w:ascii="Calibri" w:hAnsi="Calibri"/>
          <w:b/>
          <w:color w:val="4A6B25"/>
          <w:sz w:val="15"/>
        </w:rPr>
        <w:t xml:space="preserve">2. </w:t>
      </w:r>
      <w:r>
        <w:rPr>
          <w:rFonts w:ascii="Calibri" w:hAnsi="Calibri"/>
          <w:b w:val="0"/>
          <w:color w:val="3A4A28"/>
          <w:sz w:val="17"/>
        </w:rPr>
        <w:t>AdaptHealth CEO Suzanne Foster commentary on AI deployment, operational initiatives, and capitated care strategy — HME Business, Q1 2026 earnings call</w:t>
      </w:r>
    </w:p>
    <w:p>
      <w:pPr>
        <w:spacing w:before="20" w:after="20"/>
        <w:ind w:left="170"/>
      </w:pPr>
      <w:r>
        <w:rPr>
          <w:rFonts w:ascii="Calibri" w:hAnsi="Calibri"/>
          <w:b/>
          <w:color w:val="4A6B25"/>
          <w:sz w:val="15"/>
        </w:rPr>
        <w:t xml:space="preserve">3. </w:t>
      </w:r>
      <w:r>
        <w:rPr>
          <w:rFonts w:ascii="Calibri" w:hAnsi="Calibri"/>
          <w:b w:val="0"/>
          <w:color w:val="3A4A28"/>
          <w:sz w:val="17"/>
        </w:rPr>
        <w:t>AdaptHealth Corp. ESG Overview and corporate mission — adapthealth.com,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Glassdoor — AdaptHealth Reviews (873 reviews, 2.9/5 rating),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AHCO key statistics, financial data, and insider transactions,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