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AHR</w:t>
      </w:r>
      <w:r>
        <w:rPr>
          <w:rFonts w:ascii="Calibri" w:hAnsi="Calibri"/>
          <w:b/>
          <w:color w:val="1A2010"/>
          <w:sz w:val="40"/>
        </w:rPr>
        <w:t xml:space="preserve">  American Healthcare REIT, Inc.</w:t>
      </w:r>
    </w:p>
    <w:p>
      <w:pPr>
        <w:spacing w:after="120"/>
      </w:pPr>
      <w:r>
        <w:rPr>
          <w:rFonts w:ascii="Calibri" w:hAnsi="Calibri"/>
          <w:b/>
          <w:color w:val="6E8450"/>
          <w:sz w:val="18"/>
        </w:rPr>
        <w:t>GROWTH SLEEVE · 2026-07-10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American Healthcare REIT, Inc. is a self-managed REIT that acquires, owns, and operates a diversified portfolio of clinical healthcare real estate properties, focusing primarily on senior housing communities, skilled nursing facilities, and outpatient medical buildings across the United States, United Kingdom, and the Isle of Man. Operates through four segments: integrated senior health campuses, outpatient medical, triple-net leased properties, and SHOP (Senior Housing Operating Portfolio). Market cap approximately $10.4B.</w:t>
      </w:r>
    </w:p>
    <w:p>
      <w:r>
        <w:rPr>
          <w:rFonts w:ascii="Calibri" w:hAnsi="Calibri"/>
          <w:b/>
          <w:color w:val="6E8450"/>
          <w:sz w:val="18"/>
        </w:rPr>
        <w:t>121 Employees · https://americanhealthcarereit.com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AHR achieved nine consecutive quarters of double-digit same-store NOI growth and expanded internationally into the UK and Isle of Man, but the core business model of acquiring and operating healthcare properties remains fundamentally unchanged since inception [1][2]. AI Deployment (0/2): The company is developing data and AI-enabled asset management dashboards for occupancy forecasting and lease rollover risk analysis, but no AI products are shipping to customers and no quantified savings have been reported [3]. Market Share (1/2): AHR is a meaningful player in the healthcare REIT space, joining major FTSE Russell Large Cap indices in 2026, though it remains smaller than competitors Welltower and Ventas [5]. Product Pipeline (0/2): Active acquisition pipeline but no specific next-generation products or developments with named timelines beyond general capacity expansion. R&amp;D Intensity (1/1): Not applicable as a REIT with no traditional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AHR's purpose centers on providing quality healthcare environments for aging populations, prioritizing resident care through its operating partners; the mission is clear and connects to a genuine societal need but is not deeply distinctive from other healthcare REITs [3]. Community Impact (1/2): The business itself serves a direct community need by providing senior housing and healthcare facilities for aging populations, though no distinctive charitable programs or foundation activity beyond the core business was identified [4]. Employee Retention (1/2): Glassdoor ratings are exceptionally strong at 4.6/5 for culture and values with 100% CEO approval; leadership described as 'approachable, genuinely interested in each employee, and consistently making decisions rooted in integrity' [3]. Insider Buying (0/2): No evidence of meaningful net insider buying by CEO or multiple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Q1 2026 revenue rose to $650.8M with same-store NOI growing 12.1% YoY, driven by 19.7% growth in senior housing operating properties [1]. D/E of 48% is well below the 70% target, scoring full marks on balance sheet strength. However, ROE of 3.49% is well below the 15% target due to REIT accounting (high depreciation depresses GAAP earnings), and profit margin of 4.23% is similarly impacted [5]. Revenue growth YoY of 12.24% exceeds the 10% target, and 5yr revenue CAGR of approximately 13% reflects active portfolio expansion. Forward P/E of 83.80 and PEG of 5.95 both score 0, reflecting the disconnect between GAAP earnings and the REIT's actual cash generation (NFFO of $0.50/share in Q1 2026, up 30%+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AHR demonstrates genuine purpose in serving aging populations through quality healthcare environments, with strong organizational trust signals evident in exceptional Glassdoor ratings. However, as a company that only IPO'd in 2024, it lacks the multi-decade track record to validate its Just Cause through crisis and leadership transitions. The business model is inherently long-term (decades-long real estate assets), but strategic differentiation from peers remains underdeveloped.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AHR's purpose of providing quality healthcare environments for aging populations connects to a genuine societal need that transcends quarterly performance. The focus on 'prioritizing resident care' through operating partnerships reflects intentionality beyond profit maximization [3][4]. However, the company IPO'd only in 2024 and has not yet been tested through market crises, leadership transitions, or strategic adversity. The purpose has not been 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shows a 4.6/5 culture rating, 100% CEO approval, and employees describing leadership as 'approachable and rooted in integrity' [3]. For a 121-person corporate team, these are strong trust signals. However, the small sample size limits the strength of the conclusion, and the company's decentralized operating model (properties run by third-party operators) means the cultural experience may vary significantly across the broader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AHR competes alongside larger healthcare REITs including Welltower ($80B+ market cap) and Ventas, whose scale and operating capabilities represent legitimate strengths. AHR's competitive language focuses on improving portfolio quality, operational execution, and resident care outcomes rather than on defeating competitors, reflecting an improvement-oriented mindset consistent with infinite game thinking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AHR is too young as a public company (IPO 2024) to have demonstrated transformative strategic flexibility. The company has grown through acquisitions and international expansion, but has not fundamentally reinvented its business model or abandoned a profitable line of business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AHR raised its full-year 2026 guidance for NFFO to $2.03-$2.09 per share and same-store NOI growth to 9-12%, signaling confidence in long-term investment [1][2]. International expansion into the UK and Isle of Man represents a meaningful strategic bet on geographic diversification. However, the company has not yet demonstrated the kind of costly, conviction-driven decisions that define courage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AHR delivered a strong Q1 2026 with revenue of $650.8M and its ninth consecutive quarter of double-digit same-store NOI growth (12.1% YoY), driven by 19.7% growth in senior housing operating properties and 14.5% growth in integrated senior health campuses [1]. NFFO of $0.50/share grew over 30% YoY, and the company raised full-year 2026 guidance to $2.03-$2.09 NFFO/share and 9-12% same-store NOI growth [1]. The secular aging demographic trend (baby boomers entering peak senior housing age) provides a multi-decade demand tailwind, and AHR's inclusion in major FTSE Russell Large Cap indices in 2026 broadens institutional investor access.</w:t>
      </w:r>
    </w:p>
    <w:p>
      <w:pPr>
        <w:spacing w:after="120"/>
      </w:pPr>
      <w:r>
        <w:rPr>
          <w:rFonts w:ascii="Calibri" w:hAnsi="Calibri"/>
          <w:b w:val="0"/>
          <w:color w:val="3A4A28"/>
          <w:sz w:val="20"/>
        </w:rPr>
        <w:t>The primary concern is valuation relative to GAAP earnings. At 83.80x forward P/E and 5.95 PEG ratio, AHR appears extremely expensive on traditional metrics, though these are distorted by REIT accounting where depreciation depresses GAAP earnings far below cash generation [5]. The $1.00 annual dividend (1.86% yield) represents a significant cut from the pre-IPO $1.60 level, and the 173.72% GAAP payout ratio signals that GAAP earnings do not cover the dividend. Customer concentration risk exists with reliance on third-party operators, and rising interest rates could pressure cap rates and acquisition economics. The company's relatively short public track record (IPO 2024) limits visibility into management's ability to navigate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double-digit same-store NOI growth driven by senior housing occupancy recovery and rate increases as the aging baby boomer demographic enters peak demand years</w:t>
      </w:r>
    </w:p>
    <w:p>
      <w:pPr>
        <w:spacing w:before="40" w:after="40"/>
        <w:ind w:left="283"/>
      </w:pPr>
      <w:r>
        <w:rPr>
          <w:rFonts w:ascii="Calibri" w:hAnsi="Calibri"/>
          <w:b/>
          <w:color w:val="4A6B25"/>
          <w:sz w:val="20"/>
        </w:rPr>
        <w:t xml:space="preserve">2. </w:t>
      </w:r>
      <w:r>
        <w:rPr>
          <w:rFonts w:ascii="Calibri" w:hAnsi="Calibri"/>
          <w:b w:val="0"/>
          <w:color w:val="3A4A28"/>
          <w:sz w:val="20"/>
        </w:rPr>
        <w:t>FTSE Russell Large Cap index inclusion broadening institutional investor access and potentially driving passive fund inflows into a $10.4B market cap stock</w:t>
      </w:r>
    </w:p>
    <w:p>
      <w:pPr>
        <w:spacing w:before="40" w:after="40"/>
        <w:ind w:left="283"/>
      </w:pPr>
      <w:r>
        <w:rPr>
          <w:rFonts w:ascii="Calibri" w:hAnsi="Calibri"/>
          <w:b/>
          <w:color w:val="4A6B25"/>
          <w:sz w:val="20"/>
        </w:rPr>
        <w:t xml:space="preserve">3. </w:t>
      </w:r>
      <w:r>
        <w:rPr>
          <w:rFonts w:ascii="Calibri" w:hAnsi="Calibri"/>
          <w:b w:val="0"/>
          <w:color w:val="3A4A28"/>
          <w:sz w:val="20"/>
        </w:rPr>
        <w:t>International portfolio expansion in the UK and Isle of Man providing geographic diversification and access to aging demographics in developed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83.80 and PEG of 5.95 leave minimal margin of safety on GAAP metrics, creating vulnerability to any deceleration in NOI growth or NFFO trajectory</w:t>
      </w:r>
    </w:p>
    <w:p>
      <w:pPr>
        <w:spacing w:before="40" w:after="40"/>
        <w:ind w:left="283"/>
      </w:pPr>
      <w:r>
        <w:rPr>
          <w:rFonts w:ascii="Calibri" w:hAnsi="Calibri"/>
          <w:b/>
          <w:color w:val="4A6B25"/>
          <w:sz w:val="20"/>
        </w:rPr>
        <w:t xml:space="preserve">2. </w:t>
      </w:r>
      <w:r>
        <w:rPr>
          <w:rFonts w:ascii="Calibri" w:hAnsi="Calibri"/>
          <w:b w:val="0"/>
          <w:color w:val="3A4A28"/>
          <w:sz w:val="20"/>
        </w:rPr>
        <w:t>Dividend was cut from $1.60 to $1.00 pre-IPO, and the 173.72% GAAP payout ratio signals ongoing pressure on income sustainability even as NFFO covers the distribution</w:t>
      </w:r>
    </w:p>
    <w:p>
      <w:pPr>
        <w:spacing w:before="40" w:after="40"/>
        <w:ind w:left="283"/>
      </w:pPr>
      <w:r>
        <w:rPr>
          <w:rFonts w:ascii="Calibri" w:hAnsi="Calibri"/>
          <w:b/>
          <w:color w:val="4A6B25"/>
          <w:sz w:val="20"/>
        </w:rPr>
        <w:t xml:space="preserve">3. </w:t>
      </w:r>
      <w:r>
        <w:rPr>
          <w:rFonts w:ascii="Calibri" w:hAnsi="Calibri"/>
          <w:b w:val="0"/>
          <w:color w:val="3A4A28"/>
          <w:sz w:val="20"/>
        </w:rPr>
        <w:t>Reliance on third-party property operators creates execution risk outside management's direct control, particularly in skilled nursing facilities facing persistent staffing challenges and regulatory scrutiny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healthcare real estate and in-person senior care are structurally immune to AI disruption. Senior housing communities, skilled nursing facilities, and outpatient medical buildings require physical buildings, staff, and hands-on patient care that AI cannot substitute [3]. The aging U.S. demographic (10,000 baby boomers turning 65 daily) creates secular demand that is independent of technology trends. AI may modestly increase operational efficiency but cannot replace the physical infrastructure. The company acknowledges AI-related cybersecurity risks and data privacy concerns as manageable operational risks [3]. AI Opportunity (0/1): AHR is developing internal AI-enabled dashboards for occupancy forecasting and portfolio analytics, but generates no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Healthcare REIT Q1 2026 Earnings Release and Updated FY2026 Guidance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American Healthcare REIT FY2025 Results and Initial FY2026 Guidance — IR Press Release,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Company Website, and SEC 10-Q AI Risk Disclosures —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American Healthcare REIT Inaugural Corporate Responsibility Report and TCFD Report, September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 Analysis — AHR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