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AIOS</w:t>
      </w:r>
      <w:r>
        <w:rPr>
          <w:rFonts w:ascii="Calibri" w:hAnsi="Calibri"/>
          <w:b/>
          <w:color w:val="1A2010"/>
          <w:sz w:val="40"/>
        </w:rPr>
        <w:t xml:space="preserve">  AIOS Tech Inc.</w:t>
      </w:r>
    </w:p>
    <w:p>
      <w:pPr>
        <w:spacing w:after="120"/>
      </w:pPr>
      <w:r>
        <w:rPr>
          <w:rFonts w:ascii="Calibri" w:hAnsi="Calibri"/>
          <w:b/>
          <w:color w:val="6E8450"/>
          <w:sz w:val="18"/>
        </w:rPr>
        <w:t>GROWTH SLEEVE · 2026-07-22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China</w:t>
      </w:r>
    </w:p>
    <w:p>
      <w:pPr>
        <w:spacing w:after="80"/>
      </w:pPr>
      <w:r>
        <w:rPr>
          <w:rFonts w:ascii="Calibri" w:hAnsi="Calibri"/>
          <w:b w:val="0"/>
          <w:color w:val="3A4A28"/>
          <w:sz w:val="20"/>
        </w:rPr>
        <w:t>AIOS Tech Inc. (formerly Nisun International Enterprise Development Group Co., Ltd) is a Hong Kong/Shanghai-based holding company that rebranded in February 2026 to position itself as an AI and technology-driven professional services provider. The company historically provided supply chain trading, financing solutions, and technology services in China. Revenue collapsed from $234M (2022) to $5.1M (TTM), and the company received a Nasdaq minimum bid price deficiency notice in April 2026. 20 employees as of May 2026.</w:t>
      </w:r>
    </w:p>
    <w:p>
      <w:r>
        <w:rPr>
          <w:rFonts w:ascii="Calibri" w:hAnsi="Calibri"/>
          <w:b/>
          <w:color w:val="6E8450"/>
          <w:sz w:val="18"/>
        </w:rPr>
        <w:t>20 Employees · https://ir.nisun-international.com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AIOS Tech has not launched any successful products or meaningful business pivots in the last 5 years. Revenue collapsed from $234M (2022) to $5.1M (TTM), a 98.9% decline, and the company's historical supply chain trading and financing business has effectively ceased operations [1][2]. The February 2026 rebrand from Nisun International to AIOS Tech is a name change, not a business transformation. AI Deployment (0/2): No evidence of AI-powered products shipping or AI-driven efficiencies. The company claims to provide 'AI and technology-driven professional services' and 'digital transformation services' but has disclosed no actual AI products, customers, or revenue [1][2]. Market Share (1/2): The company previously held a position in China's supply chain financing market for SMEs, but with $5.1M TTM revenue and 20 employees, current market relevance is negligible [2][4]. Product Pipeline (0/2): Press releases reference 'IT solutions for the financial sector, enterprise data solutions, and AI platforms' but no specific products, timelines, or customers have been named [2]. R&amp;D Intensity (1/1): The company claims investment in AI, big data, IoT, and blockchain technologies, and maintains a 72% gross margin on remaining revenue, though the near-zero revenue base makes actual R&amp;D substance difficult to verify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AIOS Tech's stated purpose after rebranding focuses on providing 'innovative information technology solutions, advanced data services, and artificial intelligence-powered offerings' — generic boilerplate indistinguishable from thousands of small Chinese tech companies seeking to ride the AI narrative [1][2]. Community Impact (0/2): No evidence of charitable programs, community investment, or social impact initiatives. Company website provides minimal information beyond corporate filings [2]. Employee Retention (0/2): The company reports only 20 employees as of May 2026, down from an undisclosed but presumably larger workforce during the $234M revenue era. This suggests severe organizational contraction rather than retention [4]. A 2020 securities class action lawsuit (later dismissed) alleged material misrepresentations, raising governance questions [3]. Insider Buying (1/2): CEO Li Guo maintains equity ownership but no evidence of open-market insider purchases was found. The extreme stock price volatility ($6.54-$98 52-week range) suggests speculative trading dynamics rather than insider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effectively zero regardless of how the liquidity threshold is assessed. With only 20 employees, $5.1M TTM revenue (down 98.9%), net loss of -$220.9M, and EPS of -$952.86, every financial metric scores at or near the floor [4]. Revenue growth YoY of -98.9% is catastrophically below the -20% floor (score 0). Profit margin is deeply negative at -4,359% (score 0). ROE is unavailable but implied to be severely negative. No forward PE, no PEG, no dividend. The $41.2M market cap with only 3.25M shares outstanding at $12.68 creates extreme volatility risk — the 52-week range of $6.54 to $98.00 represents a 15x swing [4]. The company received a Nasdaq minimum bid price deficiency notice in April 2026 with a September 2026 compliance deadline [1]. Daily trading volume averaging 50K-111K shares is highly inconsistent.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AIOS Tech exhibits quintessentially finite game behavior — chasing the latest narrative (AI rebranding) after its core business collapsed from $234M to $5M revenue, with no evidence of enduring purpose, organizational trust, or strategic consistency. The company changed its name, ticker symbol, and claimed business focus without demonstrating any operational transformation. This is a company playing to survive this quarter, not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 rebranded from Nisun International to AIOS Tech in February 2026 to chase the AI narrative after its supply chain financing business collapsed 98.9% [1][2]. Press releases describe generic technology aspirations without any articulated vision of a better future. With 20 employees and $5.1M revenue, this is a company seeking a narrative to attract investors, not advancing a cause. The 2020 securities class action (later dismissed) and the dramatic revenue collapse without explanation further undermine credibility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or team stability. The company reports only 20 employees as of May 2026, suggesting a skeleton crew rather than a functioning organization [4]. Revenue collapsed from $234M to $5.1M without public explanation of workforce changes. The 2020 securities class action alleged material misrepresentations, and the complete lack of cultural transparency raises fundamental questions about organizational health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learning from rivals. The company's communications focus on rebranding and narrative-building rather than competitive positioning [1][2]. In the AI services space it claims to target, competitors include Alibaba Cloud, Baidu, and Tencent — yet no competitive strategy, differentiation, or market positioning has been articulated against these vastly larger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rebrand from Nisun International (supply chain financing) to AIOS Tech (claimed AI services) represents a dramatic strategic shift, and the company appears to have pivoted its operations from mainland China to Hong Kong [1][2]. However, this lacks hallmarks of genuine strategic transformation: no new products, no new customer base, no disclosed capabilities, and no organizational investment. A name change and jurisdiction shift without operational substance is desperation, not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Revenue collapsed 98.9% over three years without any disclosed turnaround plan, meaningful capital raise, or strategic restructuring [4]. The rebrand to AIOS Tech appears designed to maintain Nasdaq listing status and attract speculative interest. Receiving a Nasdaq minimum bid price deficiency notice in April 2026 (despite a $12+ stock price, suggesting prior reverse split dynamics) signals ongoing governance challenges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investment thesis for AIOS Tech. The company rebranded from Nisun International in February 2026, changing its ticker from NISN to AIOS to associate itself with the AI narrative [1][2]. However, the underlying business has collapsed — revenue fell 98.9% from $234M to $5.1M TTM, net loss was -$220.9M (EPS -$952.86), and the company has only 20 employees [4]. The $41.2M market cap with 3.25M shares outstanding creates extreme volatility (52-week range $6.54-$98), suggesting speculative trading rather than fundamental value. The company claims to provide AI and technology services but has disclosed no products, customers, or meaningful AI capabilities. A 72% gross margin on remaining revenue suggests some service value, but the scale is negligible.</w:t>
      </w:r>
    </w:p>
    <w:p>
      <w:pPr>
        <w:spacing w:after="120"/>
      </w:pPr>
      <w:r>
        <w:rPr>
          <w:rFonts w:ascii="Calibri" w:hAnsi="Calibri"/>
          <w:b w:val="0"/>
          <w:color w:val="3A4A28"/>
          <w:sz w:val="20"/>
        </w:rPr>
        <w:t>AIOS Tech presents virtually every red flag for permanent capital destruction: a China-based holding company with 98.9% revenue decline to $5.1M, -$220.9M net loss, only 20 employees, a cosmetic AI rebrand, Nasdaq minimum bid price deficiency notice with a September 2026 compliance deadline, and a prior securities class action lawsuit (dismissed in 2021) [1][3][4]. The 52-week price range of $6.54-$98.00 (a 15x swing) suggests manipulative or speculative trading patterns inconsistent with fundamental investing. The company previously projected FY2025 revenue of $420-510M, but actual TTM revenue is $5.1M, destroying all credibility of management guidance [2]. This stock is unsuitable for IOWN's framework across every dimension — it fails on innovation (no products), inspiration (no purpose), infrastructure (no financial viability), AI resilience (no AI capability), and infinite game thinking (no enduring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credible — the company has no disclosed products, customers, or revenue pipeline to drive growth [2]</w:t>
      </w:r>
    </w:p>
    <w:p>
      <w:pPr>
        <w:spacing w:before="40" w:after="40"/>
        <w:ind w:left="283"/>
      </w:pPr>
      <w:r>
        <w:rPr>
          <w:rFonts w:ascii="Calibri" w:hAnsi="Calibri"/>
          <w:b/>
          <w:color w:val="4A6B25"/>
          <w:sz w:val="20"/>
        </w:rPr>
        <w:t xml:space="preserve">2. </w:t>
      </w:r>
      <w:r>
        <w:rPr>
          <w:rFonts w:ascii="Calibri" w:hAnsi="Calibri"/>
          <w:b w:val="0"/>
          <w:color w:val="3A4A28"/>
          <w:sz w:val="20"/>
        </w:rPr>
        <w:t>Theoretical AI product launch or partnership announcement could create speculative price movement, though no timeline or substance has been disclosed [1]</w:t>
      </w:r>
    </w:p>
    <w:p>
      <w:pPr>
        <w:spacing w:before="40" w:after="40"/>
        <w:ind w:left="283"/>
      </w:pPr>
      <w:r>
        <w:rPr>
          <w:rFonts w:ascii="Calibri" w:hAnsi="Calibri"/>
          <w:b/>
          <w:color w:val="4A6B25"/>
          <w:sz w:val="20"/>
        </w:rPr>
        <w:t xml:space="preserve">3. </w:t>
      </w:r>
      <w:r>
        <w:rPr>
          <w:rFonts w:ascii="Calibri" w:hAnsi="Calibri"/>
          <w:b w:val="0"/>
          <w:color w:val="3A4A28"/>
          <w:sz w:val="20"/>
        </w:rPr>
        <w:t>Nasdaq compliance deadline of September 28, 2026 — resolution could prevent delisting, but failure would eliminate remaining market access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Business viability risk — revenue collapsed 98.9% to $5.1M with net loss of -$220.9M, only 20 employees, and no credible path to sustainable operations [4]</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minimum bid price deficiency notice received April 2026 with September 2026 compliance deadline; prior reverse split dynamics and extreme volatility suggest structural listing vulnerability [1]</w:t>
      </w:r>
    </w:p>
    <w:p>
      <w:pPr>
        <w:spacing w:before="40" w:after="40"/>
        <w:ind w:left="283"/>
      </w:pPr>
      <w:r>
        <w:rPr>
          <w:rFonts w:ascii="Calibri" w:hAnsi="Calibri"/>
          <w:b/>
          <w:color w:val="4A6B25"/>
          <w:sz w:val="20"/>
        </w:rPr>
        <w:t xml:space="preserve">3. </w:t>
      </w:r>
      <w:r>
        <w:rPr>
          <w:rFonts w:ascii="Calibri" w:hAnsi="Calibri"/>
          <w:b w:val="0"/>
          <w:color w:val="3A4A28"/>
          <w:sz w:val="20"/>
        </w:rPr>
        <w:t>China regulatory and governance risk — Hong Kong/Shanghai-based holding company with minimal transparency, prior securities class action, unreliable management projections ($420-510M guidance vs $5.1M actual), and 98.9% revenue destruction without public explanation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AIOS Tech's historical supply chain trading and financing business in China faces real AI disruption risk — supply chain optimization, document processing, and SME lending decisions are increasingly automated by AI platforms from Alibaba, JD.com, and Ant Group, rendering AIOS's legacy model uncompetitive [2]. The company claims to be pivoting toward AI services, but with $5.1M TTM revenue, 20 employees, and no disclosed AI products, this is narrative positioning rather than substantive capability. The 'AI' in AIOS Tech appears designed to attract speculative interest rather than representing genuine technology. However, whatever physical supply chain services remain are inherently difficult for AI to fully displace. AI Opportunity (0/1): Despite the company name containing 'AI' and press releases mentioning AI platforms, no specific AI products, customers, or revenue have been disclosed [1][2]. The 72% gross margin on $5.1M revenue suggests some service value, but there is no evidence this involves 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AIOS Tech Rebrand and Nasdaq Compliance — renamed from Nisun International, ticker NISN to AIOS effective February 12, 2026; min bid price deficiency notice April 2026, GlobeNewsWire</w:t>
      </w:r>
    </w:p>
    <w:p>
      <w:pPr>
        <w:spacing w:before="20" w:after="20"/>
        <w:ind w:left="170"/>
      </w:pPr>
      <w:r>
        <w:rPr>
          <w:rFonts w:ascii="Calibri" w:hAnsi="Calibri"/>
          <w:b/>
          <w:color w:val="4A6B25"/>
          <w:sz w:val="15"/>
        </w:rPr>
        <w:t xml:space="preserve">2. </w:t>
      </w:r>
      <w:r>
        <w:rPr>
          <w:rFonts w:ascii="Calibri" w:hAnsi="Calibri"/>
          <w:b w:val="0"/>
          <w:color w:val="3A4A28"/>
          <w:sz w:val="17"/>
        </w:rPr>
        <w:t>AIOS Tech Company Profile — Hong Kong/Shanghai-based, supply chain and financing solutions, AI repositioning claims, 20 employees, SEC 20-F filing 2025</w:t>
      </w:r>
    </w:p>
    <w:p>
      <w:pPr>
        <w:spacing w:before="20" w:after="20"/>
        <w:ind w:left="170"/>
      </w:pPr>
      <w:r>
        <w:rPr>
          <w:rFonts w:ascii="Calibri" w:hAnsi="Calibri"/>
          <w:b/>
          <w:color w:val="4A6B25"/>
          <w:sz w:val="15"/>
        </w:rPr>
        <w:t xml:space="preserve">3. </w:t>
      </w:r>
      <w:r>
        <w:rPr>
          <w:rFonts w:ascii="Calibri" w:hAnsi="Calibri"/>
          <w:b w:val="0"/>
          <w:color w:val="3A4A28"/>
          <w:sz w:val="17"/>
        </w:rPr>
        <w:t>Nisun International Securities Litigation — 2020 class action alleging misrepresentations (dismissed September 2021), Kurt Law Firm</w:t>
      </w:r>
    </w:p>
    <w:p>
      <w:pPr>
        <w:spacing w:before="20" w:after="20"/>
        <w:ind w:left="170"/>
      </w:pPr>
      <w:r>
        <w:rPr>
          <w:rFonts w:ascii="Calibri" w:hAnsi="Calibri"/>
          <w:b/>
          <w:color w:val="4A6B25"/>
          <w:sz w:val="15"/>
        </w:rPr>
        <w:t xml:space="preserve">4. </w:t>
      </w:r>
      <w:r>
        <w:rPr>
          <w:rFonts w:ascii="Calibri" w:hAnsi="Calibri"/>
          <w:b w:val="0"/>
          <w:color w:val="3A4A28"/>
          <w:sz w:val="17"/>
        </w:rPr>
        <w:t>StockAnalysis / StockTitan — AIOS key statistics, $12.68 price, $41.2M market cap, $5.1M TTM revenue, -$220.9M net loss,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