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ALB</w:t>
      </w:r>
      <w:r>
        <w:rPr>
          <w:rFonts w:ascii="Calibri" w:hAnsi="Calibri"/>
          <w:b/>
          <w:color w:val="1A2010"/>
          <w:sz w:val="40"/>
        </w:rPr>
        <w:t xml:space="preserve">  Albemarle Corporation</w:t>
      </w:r>
    </w:p>
    <w:p>
      <w:pPr>
        <w:spacing w:after="120"/>
      </w:pPr>
      <w:r>
        <w:rPr>
          <w:rFonts w:ascii="Calibri" w:hAnsi="Calibri"/>
          <w:b/>
          <w:color w:val="6E8450"/>
          <w:sz w:val="18"/>
        </w:rPr>
        <w:t>GROWTH SLEEVE · 2026-07-10 · Inspire: 69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Albemarle Corporation is the world's largest lithium producer and a global leader in specialty chemicals, operating through two primary segments: Energy Storage (lithium compounds for EV batteries, energy storage systems, and consumer electronics) and Specialties (bromine-based flame retardants, catalysts, and other specialty chemicals). Headquartered in Charlotte, North Carolina, with operations spanning Australia, Chile, China, and the United States. Market cap approximately $15.0B.</w:t>
      </w:r>
    </w:p>
    <w:p>
      <w:r>
        <w:rPr>
          <w:rFonts w:ascii="Calibri" w:hAnsi="Calibri"/>
          <w:b/>
          <w:color w:val="6E8450"/>
          <w:sz w:val="18"/>
        </w:rPr>
        <w:t>7,800 Employees · https://www.albemarle.com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Albemarle successfully transformed from a diversified specialty chemicals company into the world's dominant lithium producer, positioning itself at the center of the EV and energy storage revolution. Q1 2026 Energy Storage net sales surged 70% YoY to $891M with adjusted EBITDA up 196% to $551M, validating the strategic pivot [1]. AI Deployment (0/2): No evidence of AI-powered products shipping to customers or quantified AI-driven operational savings. Market Share (2/2): World's largest lithium producer with dominant market position. Energy Storage demand tracked 117% YoY growth in Q1 2026, and the company's 51% pricing increase reflects pricing power in a recovering market [1]. Product Pipeline (1/2): Lithium capacity expansion projects in Australia (Kemerton) and Chile (La Negra) provide volume growth visibility, but these are capacity additions rather than next-generation product innovations. R&amp;D Intensity (0/1): R&amp;D spending is moderate for a chemicals company and below top-quartile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Albemarle's stated purpose of 'powering the potential of people and planet through the elements of innovation' connects its specialty chemicals work to societal benefit through the energy transition, but the statement is broad enough to apply to many industrial companies and lacks distinctive specificity [2]. Community Impact (1/2): Standard corporate philanthropy programs. The company's products enable the EV transition (indirect community benefit), but no distinctive charitable foundation or community investment programs with specific dollar amounts were identified. Employee Retention (0/2): Mass layoffs in 2024 during the lithium downturn significantly damaged employee morale. Glassdoor rating of 3.5/5 with reviews citing 'poor leadership,' 'lack of accountability at C-Suite level,' and company culture struggling since the layoffs [3]. Insider Buying (0/2): No evidence of meaningful net insider buying by CEO Kent Masters or multiple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Growth stock on available metrics. Q1 2026 marked a dramatic recovery with net sales up 33% to $1.43B and net income of $319M (vs. $41M prior year), driven by lithium price recovery and cost discipline [1]. D/E of 20% is excellent, well below the 70% target, and the company cut $1.3B in debt during the downturn [1]. Forward P/E of 9.30 is attractively below the 20 target. However, ROE of -1.82% reflects the trailing impact of the lithium price collapse that drove losses in 2024-2025, and profit margin of -4.24% on a TTM basis remains negative despite the Q1 2026 recovery [5]. Revenue growth YoY of 7.87% on a TTM basis is approaching the 10% target as the recovery accelerates, and 5yr revenue CAGR of approximately 10.7% (from ~$3.3B in 2021) reflects the longer-term growth trajectory. Forward PEG was unavailable and excluded from scoring.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Albemarle operates primarily as a finite player focused on market dominance in lithium production and shareholder value creation. The 2024 mass layoffs during the lithium downturn, the deteriorating employee morale, and the absence of a deeply-held purpose beyond generic innovation rhetoric suggest a company optimizing for quarterly performance rather than playing to endure. The strategic pivot to lithium was more market-opportunity-driven than cause-driven, and the organizational culture appears weakened by the downturn response.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Albemarle's purpose statement — 'powering the potential of people and planet through the elements of innovation' — exists but reads as corporate marketing rather than a genuine Just Cause. It is broad enough to apply to any industrial company and lacks the specificity and emotional resonance that would inspire sacrifice [2]. The lithium strategy is driven by market opportunity (EV demand) rather than a deeply-held vision of a better future. Leadership does not consistently reference the purpose when discussing strategic decisions in earnings calls.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2024 mass layoffs severely damaged organizational trust. Glassdoor reviews (3.5/5) describe 'poor leadership,' 'employee morale has definitely dropped,' and 'company culture has struggled since mass layoffs' [3]. Multiple reviews cite lack of accountability at the C-Suite level and unclear strategic direction. The Digital Tech Hub receives positive reviews for collaboration and inclusion, suggesting trust varies significantly by team, but the overall organizational culture shows clear signs of low trust and fear following the restructuring.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Albemarle's competitive language consistently emphasizes its position as the 'world's largest lithium producer' and focuses on maintaining market dominance rather than learning from rivals' strengths [1][2]. Competitors SQM (Chilean brine expertise) and Ganfeng Lithium (Chinese processing scale) possess strengths that could inspire improvement, but Albemarle's public communications frame competition as a battle for market share rather than a catalyst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Albemarle successfully evolved from a diversified specialty chemicals company into the world's leading lithium producer, concentrating resources on the energy storage opportunity. This strategic shift required significant capital reallocation and organizational transformation [2]. However, the pivot was largely market-opportunity-driven (lithium prices surged 10x from 2020 to 2022) rather than purpose-driven, and the company maintained its Specialties segment rather than fully committing to the energy transition thesis.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During the severe lithium price downturn of 2024-2025, Albemarle made significant cost reductions and cut $1.3B in debt while maintaining core capacity investments, demonstrating some willingness to sacrifice near-term comfort for long-term positioning [1]. However, the mass layoffs in 2024 and operational restructuring were primarily defensive moves to survive the downturn rather than courageous long-term bets, and the C-suite drew criticism for 'lack of accountability' for the over-expansion that preceded the downturn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Albemarle's Q1 2026 results signal a powerful cyclical recovery: net sales grew 33% to $1.43B, adjusted EBITDA surged 148% to $664M, and net income exploded 672% to $319M as lithium prices rebounded from the 2024 trough [1]. The Energy Storage segment led with 70% revenue growth and 196% EBITDA growth, and full-year lithium demand is tracking toward the high end of the 15-40% growth guidance range at 37% [1]. At a forward P/E of 9.30 with D/E of just 20% (after $1.3B debt reduction), the stock offers significant upside if the lithium recovery sustains. The structural demand drivers — EV adoption, grid-scale energy storage, and AI-driven data center power needs — provide a multi-decade growth runway.</w:t>
      </w:r>
    </w:p>
    <w:p>
      <w:pPr>
        <w:spacing w:after="120"/>
      </w:pPr>
      <w:r>
        <w:rPr>
          <w:rFonts w:ascii="Calibri" w:hAnsi="Calibri"/>
          <w:b w:val="0"/>
          <w:color w:val="3A4A28"/>
          <w:sz w:val="20"/>
        </w:rPr>
        <w:t>The bear case centers on lithium's extreme cyclicality. Revenue collapsed from $9.6B (2023) to $5.1B (2025) as lithium prices fell 80%+ from peak, demonstrating the commodity volatility that makes Albemarle fundamentally different from a technology compounder [2]. ROE remains negative at -1.82% on a trailing basis, and profit margin of -4.24% reflects the lingering damage from the downturn. The 2024 mass layoffs damaged organizational culture and created execution risk as the company scales back up. Chinese lithium producers with lower cost structures represent persistent competitive pressure on pricing. The dividend yield of 1.26% offers minimal downside protection, and the $1.62/share dividend has barely grown in five years despite the enormous revenue volatility.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Lithium price recovery sustaining into H2 2026 with demand tracking at 37% growth — above the high end of initial guidance — driven by EV adoption acceleration and grid-scale storage deployment</w:t>
      </w:r>
    </w:p>
    <w:p>
      <w:pPr>
        <w:spacing w:before="40" w:after="40"/>
        <w:ind w:left="283"/>
      </w:pPr>
      <w:r>
        <w:rPr>
          <w:rFonts w:ascii="Calibri" w:hAnsi="Calibri"/>
          <w:b/>
          <w:color w:val="4A6B25"/>
          <w:sz w:val="20"/>
        </w:rPr>
        <w:t xml:space="preserve">2. </w:t>
      </w:r>
      <w:r>
        <w:rPr>
          <w:rFonts w:ascii="Calibri" w:hAnsi="Calibri"/>
          <w:b w:val="0"/>
          <w:color w:val="3A4A28"/>
          <w:sz w:val="20"/>
        </w:rPr>
        <w:t>Debt reduction of $1.3B during the downturn positions balance sheet for opportunistic capacity expansion as competitors face capital constraints from the prolonged price downturn</w:t>
      </w:r>
    </w:p>
    <w:p>
      <w:pPr>
        <w:spacing w:before="40" w:after="40"/>
        <w:ind w:left="283"/>
      </w:pPr>
      <w:r>
        <w:rPr>
          <w:rFonts w:ascii="Calibri" w:hAnsi="Calibri"/>
          <w:b/>
          <w:color w:val="4A6B25"/>
          <w:sz w:val="20"/>
        </w:rPr>
        <w:t xml:space="preserve">3. </w:t>
      </w:r>
      <w:r>
        <w:rPr>
          <w:rFonts w:ascii="Calibri" w:hAnsi="Calibri"/>
          <w:b w:val="0"/>
          <w:color w:val="3A4A28"/>
          <w:sz w:val="20"/>
        </w:rPr>
        <w:t>AI-driven data center buildout creating incremental lithium demand for battery backup systems and grid storage, providing a new demand driver beyond the EV thesis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lithium price cyclicality — revenue fell 46% from $9.6B (2023) to $5.1B (2025) — means current recovery could reverse if Chinese oversupply returns or EV adoption decelerates</w:t>
      </w:r>
    </w:p>
    <w:p>
      <w:pPr>
        <w:spacing w:before="40" w:after="40"/>
        <w:ind w:left="283"/>
      </w:pPr>
      <w:r>
        <w:rPr>
          <w:rFonts w:ascii="Calibri" w:hAnsi="Calibri"/>
          <w:b/>
          <w:color w:val="4A6B25"/>
          <w:sz w:val="20"/>
        </w:rPr>
        <w:t xml:space="preserve">2. </w:t>
      </w:r>
      <w:r>
        <w:rPr>
          <w:rFonts w:ascii="Calibri" w:hAnsi="Calibri"/>
          <w:b w:val="0"/>
          <w:color w:val="3A4A28"/>
          <w:sz w:val="20"/>
        </w:rPr>
        <w:t>Negative trailing ROE (-1.82%) and profit margin (-4.24%) demonstrate that the company has not yet fully recovered from the downturn, and a sustained lithium price decline would return operations to losses</w:t>
      </w:r>
    </w:p>
    <w:p>
      <w:pPr>
        <w:spacing w:before="40" w:after="40"/>
        <w:ind w:left="283"/>
      </w:pPr>
      <w:r>
        <w:rPr>
          <w:rFonts w:ascii="Calibri" w:hAnsi="Calibri"/>
          <w:b/>
          <w:color w:val="4A6B25"/>
          <w:sz w:val="20"/>
        </w:rPr>
        <w:t xml:space="preserve">3. </w:t>
      </w:r>
      <w:r>
        <w:rPr>
          <w:rFonts w:ascii="Calibri" w:hAnsi="Calibri"/>
          <w:b w:val="0"/>
          <w:color w:val="3A4A28"/>
          <w:sz w:val="20"/>
        </w:rPr>
        <w:t>Mass layoffs in 2024 damaged organizational culture and talent base, creating execution risk as the company needs to scale production capacity to capture the demand recovery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Lithium mining and chemical processing are capital-intensive, physical-world operations that AI structurally cannot displace. Extracting lithium from brine pools in Chile or hard-rock mines in Australia requires massive physical infrastructure, regulatory permits, and decades of operational expertise [2]. AI actually increases demand for Albemarle's products through multiple channels: data centers powering AI models require enormous energy storage capacity, EV adoption accelerated by AI-driven autonomous driving needs lithium batteries, and AI-powered consumer devices require lithium-ion batteries. Full-year 2026 guidance assumes 15-40% lithium demand growth, with current consumption tracking toward the upper end at 37% [1]. AI Opportunity (0/1): Albemarle generates no revenue from AI-related products or services. The company is a beneficiary of AI-driven demand growth rather than an AI product provider.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Albemarle Q1 2026 Earnings Release, Investor Presentation, and Earnings Call Transcript —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Albemarle FY2025 Annual Report, 10-K Filing, and Company Overview — SEC,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Employee Reviews and Comparably Culture Ratings — Albemarle,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ESG Rating and Albemarle ESG Disclosures,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 Analysis — ALB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