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ALC</w:t>
      </w:r>
      <w:r>
        <w:rPr>
          <w:rFonts w:ascii="Calibri" w:hAnsi="Calibri"/>
          <w:b/>
          <w:color w:val="1A2010"/>
          <w:sz w:val="40"/>
        </w:rPr>
        <w:t xml:space="preserve">  Alcon Inc.</w:t>
      </w:r>
    </w:p>
    <w:p>
      <w:pPr>
        <w:spacing w:after="120"/>
      </w:pPr>
      <w:r>
        <w:rPr>
          <w:rFonts w:ascii="Calibri" w:hAnsi="Calibri"/>
          <w:b/>
          <w:color w:val="6E8450"/>
          <w:sz w:val="18"/>
        </w:rPr>
        <w:t>GROWTH SLEEVE · 2026-07-25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Switzerland</w:t>
      </w:r>
    </w:p>
    <w:p>
      <w:pPr>
        <w:spacing w:after="80"/>
      </w:pPr>
      <w:r>
        <w:rPr>
          <w:rFonts w:ascii="Calibri" w:hAnsi="Calibri"/>
          <w:b w:val="0"/>
          <w:color w:val="3A4A28"/>
          <w:sz w:val="20"/>
        </w:rPr>
        <w:t>Alcon researches, develops, manufactures, and sells eye care products worldwide through two segments: Surgical (cataract, vitreoretinal, and refractive surgery equipment and consumables) and Vision Care (contact lenses, ocular health products). Founded in 1945, spun off from Novartis in 2019, and headquartered in Geneva, Switzerland. Kevin Buehler became CEO in March 2026 following CEO transitions.</w:t>
      </w:r>
    </w:p>
    <w:p>
      <w:r>
        <w:rPr>
          <w:rFonts w:ascii="Calibri" w:hAnsi="Calibri"/>
          <w:b/>
          <w:color w:val="6E8450"/>
          <w:sz w:val="18"/>
        </w:rPr>
        <w:t>25,000 Employees · https://www.alcon.com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revenue rose 10% to $2.69B driven by new product launches — PanOptix Pro trifocal lens, Unity surgical platform, and Tryptyr dry eye treatment which gained 4 share points within 8 months of launch [1][4]. Alcon gained ~2 share points in the PC-IOL (premium cataract intraocular lens) category in the US. However, GAAP operating earnings fell 32% due to $33M in tariff charges and $11M in Middle East shipping disruptions [4]. AI Deployment (1/2): Alcon holds 16 AI-related patents and deploys AI-powered surgical guidance systems including the ARGOS biometer, SMARTCATARACT digital health platform, and NGENUITY 3D visualization system [2]. 'Alcon Intelligent Services' evolves digital service offerings, but specific AI revenue attribution or quantified cost savings are not disclosed. Market Share (2/2): Alcon is the global leader in ophthalmic surgical equipment and #1 or #2 in cataract surgery, contact lenses, and ocular health across a $40B+ eye care market [1][2]. Q1 2026 share gains in PC-IOL and dry eye segments demonstrate continued competitive strength. Pipeline (1/2): Upgraded Vivity lens planned for early 2027, and Tryptyr dry eye treatment is in early commercialization ramp, but longer-term pipeline visibility beyond current launches remains limited [4]. R&amp;D Intensity (0/1): R&amp;D spending at approximately 7% of revenue is at industry average for medical devices, not above 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Alcon's mission to 'help people See Brilliantly' is specific, purposeful, and connects eye care products to human quality of life with a 75+ year heritage [3]. The Brilliant Lives/Brilliant Innovation/Brilliant Planet sustainability framework demonstrates institutional intentionality. However, the company has had multiple CEO transitions since the 2019 Novartis spinoff (Endicott, then others, now Kevin Buehler as of March 2026), preventing the mission from being validated through consistent long-term independent leadership [2]. Community Impact (1/2): Alcon became the first healthcare company to be GreenCircle certified for Zero Waste to Landfill operations [3]. The Alcon Foundation supports sight-related charitable programs globally, but specific dollar amounts for charitable giving are not prominently disclosed. Employee Retention (0/2): Glassdoor reviews have historically cited complaints about poor leadership communication, favoritism, and limited growth opportunities [2]. Multiple CEO transitions in the company's 7-year independent history add leadership instability that undermines organizational culture continuity. Insider Buying (1/2): No meaningful net insider buying or selling reported, suggesting neutral insider conviction; the $1.5B share repurchase authorization announced in Q1 2026 is an institutional action, not individual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Alcon's financial profile shows improving valuation after a 26% stock decline over the past year, though profitability metrics remain subpar for a medical device leader. D/E of 24% and Forward P/E of 18.2x score well on leverage and valuation [5]. Revenue growth accelerated to 10% in Q1 2026 with 5yr CAGR of ~9.4%, approaching the 10% target [1]. The persistent weakness is low ROE of 3.7% (well below the 15% target) reflecting Alcon's heavy asset base and post-spin-off capital structure, and profit margin of 7.7% (below 20% target) compressed by manufacturing costs and $33M in Q1 tariff charges [4][5]. Core operating margin of 21.2% better reflects underlying business quality. Forward PEG of ~1.3 is attractive for a medical device franchise. FCF of $1.73B (5.2% yield) demonstrates strong cash generation despite GAAP profit weakness. Liquidity floor cleared easily at $144.3M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Alcon possesses a genuine 75-year purpose in eye care ('See Brilliantly') with market-leading positions, but multiple CEO transitions since the 2019 Novartis spinoff — most recently Kevin Buehler replacing Cary Rayment in March 2026 — undermine the leadership continuity that Sinek considers foundational to infinite game thinking. The company has not yet established a stable, independent identity after only 7 years post-spinoff.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Alcon's 'See Brilliantly' purpose connects eye care innovation to human quality of life with 75+ years of heritage — specific, service-oriented, and enduring [3]. The Brilliant Lives/Innovation/Planet framework shows institutional alignment. However, as an independent company for only 7 years post-Novartis, and now on its third (or more) CEO, this cause hasn't been validated through decades of consistent independent execution. The cause is genuine but organizationally unproven at the leadership level.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 maintains 25,000+ employees across 60 countries with no major cultural incidents. However, Glassdoor reviews have historically cited leadership communication gaps, favoritism, and limited professional development [2]. The rapid CEO turnover (multiple transitions since the 2019 spinoff) creates organizational uncertainty that undermines trust at the leadership level. New CEO Kevin Buehler (March 2026) hasn't had time to establish his cultural imprint.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 competes with Johnson &amp; Johnson Vision, Bausch + Lomb, and CooperVision, and management discussions reference competitive dynamics in terms of product innovation, clinical outcomes, and share point gains rather than market share warfare [1][4]. The focus on surgical technology advancement and patient outcomes suggests a learning-oriented competitive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 has been a focused eye care company since 1945 and has not undergone a transformative pivot — it has incrementally expanded within its domain from pharmaceuticals to surgical devices to contact lenses to dry eye treatments [1]. The Novartis spin-off was imposed externally, not chosen strategically. As a single-focus medical device company, existential flexibility hasn't been meaningfully tested.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Alcon launched a $1.5B three-year share repurchase program signaling capital allocation confidence, and maintained investment in new product launches (Tryptyr, upgraded Vivity) despite $33M in tariff headwinds and operating earnings declining 32% [4]. The 2026 guidance raise on core EPS (10-13% growth) despite macroeconomic challenges shows some conviction. However, CEO transitions suggest the board is searching for the right leadership rather than backing a courageous long-term vision.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Alcon is the global leader in eye care with Q1 2026 revenue accelerating to $2.69B (+10% YoY), driven by successful product launches — PanOptix Pro trifocal lens, Unity surgical platform, and Tryptyr dry eye treatment gaining 4 share points in 8 months [1][4]. At $67.91 and 18.2x forward P/E, the stock has de-rated 26% over the past year, creating a more attractive entry point for a healthcare franchise with high barriers to entry and secular demographic tailwinds from aging populations [5]. Management raised constant-currency core EPS growth guidance to 10-13% for 2026, and the $1.5B share repurchase program signals capital allocation confidence [4]. FCF of $1.73B (5.2% yield) demonstrates underlying cash generation strength that GAAP profitability understates. Core operating margin of 21.2% in Q1 2026 improved despite tariff headwinds [4].</w:t>
      </w:r>
    </w:p>
    <w:p>
      <w:pPr>
        <w:spacing w:after="120"/>
      </w:pPr>
      <w:r>
        <w:rPr>
          <w:rFonts w:ascii="Calibri" w:hAnsi="Calibri"/>
          <w:b w:val="0"/>
          <w:color w:val="3A4A28"/>
          <w:sz w:val="20"/>
        </w:rPr>
        <w:t>The bear case centers on persistent profitability weakness, leadership instability, and external headwinds. GAAP profit margin of 7.7% and ROE of 3.7% remain well below medical device peers, reflecting Alcon's heavy manufacturing cost structure and continued post-spin-off investment requirements [5]. GAAP operating earnings fell 32% in Q1 2026 due to $33M in tariff charges and $11M in Middle East shipping disruptions, demonstrating vulnerability to geopolitical and trade policy risks [4]. Global cataract procedure volumes grew only in the low single digits in Q1 2026, suggesting the secular growth story may be decelerating. Multiple CEO transitions since the 2019 Novartis spinoff — most recently Kevin Buehler replacing Cary Rayment in March 2026 — raise questions about strategic continuity and organizational stability [2]. The trailing P/E of 40.6x against a 7.7% profit margin implies investors are paying for a profitability improvement that has been slow to materialize after 7 years of independence. Swiss franc-denominated cost base creates persistent currency headwinds against global revenues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acceleration to +10% YoY ($2.69B) with PanOptix Pro, Unity platform, and Tryptyr launches driving share gains — Tryptyr captured 4 share points in dry eye within 8 months [1][4]</w:t>
      </w:r>
    </w:p>
    <w:p>
      <w:pPr>
        <w:spacing w:before="40" w:after="40"/>
        <w:ind w:left="283"/>
      </w:pPr>
      <w:r>
        <w:rPr>
          <w:rFonts w:ascii="Calibri" w:hAnsi="Calibri"/>
          <w:b/>
          <w:color w:val="4A6B25"/>
          <w:sz w:val="20"/>
        </w:rPr>
        <w:t xml:space="preserve">2. </w:t>
      </w:r>
      <w:r>
        <w:rPr>
          <w:rFonts w:ascii="Calibri" w:hAnsi="Calibri"/>
          <w:b w:val="0"/>
          <w:color w:val="3A4A28"/>
          <w:sz w:val="20"/>
        </w:rPr>
        <w:t>Core EPS guidance raised to 10-13% constant-currency growth for 2026, with core operating margin expanding to 21.2% despite tariff headwinds [4]</w:t>
      </w:r>
    </w:p>
    <w:p>
      <w:pPr>
        <w:spacing w:before="40" w:after="40"/>
        <w:ind w:left="283"/>
      </w:pPr>
      <w:r>
        <w:rPr>
          <w:rFonts w:ascii="Calibri" w:hAnsi="Calibri"/>
          <w:b/>
          <w:color w:val="4A6B25"/>
          <w:sz w:val="20"/>
        </w:rPr>
        <w:t xml:space="preserve">3. </w:t>
      </w:r>
      <w:r>
        <w:rPr>
          <w:rFonts w:ascii="Calibri" w:hAnsi="Calibri"/>
          <w:b w:val="0"/>
          <w:color w:val="3A4A28"/>
          <w:sz w:val="20"/>
        </w:rPr>
        <w:t>Upgraded Vivity lens launching early 2027 and $1.5B three-year share repurchase program providing continued product and capital return catalysts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operating earnings fell 32% in Q1 2026 from $33M tariff charges and $11M Middle East shipping disruptions, demonstrating vulnerability to external shocks [4]</w:t>
      </w:r>
    </w:p>
    <w:p>
      <w:pPr>
        <w:spacing w:before="40" w:after="40"/>
        <w:ind w:left="283"/>
      </w:pPr>
      <w:r>
        <w:rPr>
          <w:rFonts w:ascii="Calibri" w:hAnsi="Calibri"/>
          <w:b/>
          <w:color w:val="4A6B25"/>
          <w:sz w:val="20"/>
        </w:rPr>
        <w:t xml:space="preserve">2. </w:t>
      </w:r>
      <w:r>
        <w:rPr>
          <w:rFonts w:ascii="Calibri" w:hAnsi="Calibri"/>
          <w:b w:val="0"/>
          <w:color w:val="3A4A28"/>
          <w:sz w:val="20"/>
        </w:rPr>
        <w:t>Multiple CEO transitions since the 2019 spinoff raise strategic continuity concerns — new CEO Kevin Buehler (March 2026) faces the challenge of stabilizing leadership and accelerating profitability [2]</w:t>
      </w:r>
    </w:p>
    <w:p>
      <w:pPr>
        <w:spacing w:before="40" w:after="40"/>
        <w:ind w:left="283"/>
      </w:pPr>
      <w:r>
        <w:rPr>
          <w:rFonts w:ascii="Calibri" w:hAnsi="Calibri"/>
          <w:b/>
          <w:color w:val="4A6B25"/>
          <w:sz w:val="20"/>
        </w:rPr>
        <w:t xml:space="preserve">3. </w:t>
      </w:r>
      <w:r>
        <w:rPr>
          <w:rFonts w:ascii="Calibri" w:hAnsi="Calibri"/>
          <w:b w:val="0"/>
          <w:color w:val="3A4A28"/>
          <w:sz w:val="20"/>
        </w:rPr>
        <w:t>ROE of 3.7% and profit margin of 7.7% remain structurally low for a medical device leader, with global cataract volume growth decelerating to low single digits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Alcon's core business — manufacturing ophthalmic surgical equipment, intraocular lenses, and performing physical eye care procedures — is structurally immune to AI substitution [2]. AI cannot replace cataract surgery, contact lens manufacturing, or the physical supply chain for surgical consumables. Regulated medical device clearances (FDA/CE) create additional barriers. AI actually enhances Alcon's value proposition through surgical guidance and diagnostics (ARGOS, SMARTCATARACT, NGENUITY), increasing demand for its platform rather than threatening it [2]. Global cataract procedure volumes of 30M+ annually represent a physical demand base that grows with aging populations regardless of AI disruption in other sectors. AI Opportunity (1/1): Alcon generates revenue from AI-integrated surgical platforms — the ARGOS biometer, SMARTCATARACT digital health platform, and NGENUITY 3D visualization system are AI-enabled products shipping to surgeon customers worldwide, with 16 AI patents filed [2]. These represent tangible AI-enhanced products driving premium pricing and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Alcon Q1 2026 Earnings Release — $2.69B revenue, +10% YoY, core EPS $0.85 (+16.4%), core operating margin 21.2%, May 2026</w:t>
      </w:r>
    </w:p>
    <w:p>
      <w:pPr>
        <w:spacing w:before="20" w:after="20"/>
        <w:ind w:left="170"/>
      </w:pPr>
      <w:r>
        <w:rPr>
          <w:rFonts w:ascii="Calibri" w:hAnsi="Calibri"/>
          <w:b/>
          <w:color w:val="4A6B25"/>
          <w:sz w:val="15"/>
        </w:rPr>
        <w:t xml:space="preserve">2. </w:t>
      </w:r>
      <w:r>
        <w:rPr>
          <w:rFonts w:ascii="Calibri" w:hAnsi="Calibri"/>
          <w:b w:val="0"/>
          <w:color w:val="3A4A28"/>
          <w:sz w:val="17"/>
        </w:rPr>
        <w:t>Alcon leadership and innovation — CEO Kevin Buehler transition, 16 AI patents, SMARTCATARACT, ARGOS, Alcon Intelligent Services</w:t>
      </w:r>
    </w:p>
    <w:p>
      <w:pPr>
        <w:spacing w:before="20" w:after="20"/>
        <w:ind w:left="170"/>
      </w:pPr>
      <w:r>
        <w:rPr>
          <w:rFonts w:ascii="Calibri" w:hAnsi="Calibri"/>
          <w:b/>
          <w:color w:val="4A6B25"/>
          <w:sz w:val="15"/>
        </w:rPr>
        <w:t xml:space="preserve">3. </w:t>
      </w:r>
      <w:r>
        <w:rPr>
          <w:rFonts w:ascii="Calibri" w:hAnsi="Calibri"/>
          <w:b w:val="0"/>
          <w:color w:val="3A4A28"/>
          <w:sz w:val="17"/>
        </w:rPr>
        <w:t>Alcon Corporate Responsibility — 'See Brilliantly' mission, Brilliant Lives/Innovation/Planet pillars, GreenCircle Zero Waste certification</w:t>
      </w:r>
    </w:p>
    <w:p>
      <w:pPr>
        <w:spacing w:before="20" w:after="20"/>
        <w:ind w:left="170"/>
      </w:pPr>
      <w:r>
        <w:rPr>
          <w:rFonts w:ascii="Calibri" w:hAnsi="Calibri"/>
          <w:b/>
          <w:color w:val="4A6B25"/>
          <w:sz w:val="15"/>
        </w:rPr>
        <w:t xml:space="preserve">4. </w:t>
      </w:r>
      <w:r>
        <w:rPr>
          <w:rFonts w:ascii="Calibri" w:hAnsi="Calibri"/>
          <w:b w:val="0"/>
          <w:color w:val="3A4A28"/>
          <w:sz w:val="17"/>
        </w:rPr>
        <w:t>Alcon Q1 2026 earnings call — $33M tariff charges, $11M Middle East disruption, Tryptyr +4 share points, $1.5B buyback, Vivity 2027 launch</w:t>
      </w:r>
    </w:p>
    <w:p>
      <w:pPr>
        <w:spacing w:before="20" w:after="20"/>
        <w:ind w:left="170"/>
      </w:pPr>
      <w:r>
        <w:rPr>
          <w:rFonts w:ascii="Calibri" w:hAnsi="Calibri"/>
          <w:b/>
          <w:color w:val="4A6B25"/>
          <w:sz w:val="15"/>
        </w:rPr>
        <w:t xml:space="preserve">5. </w:t>
      </w:r>
      <w:r>
        <w:rPr>
          <w:rFonts w:ascii="Calibri" w:hAnsi="Calibri"/>
          <w:b w:val="0"/>
          <w:color w:val="3A4A28"/>
          <w:sz w:val="17"/>
        </w:rPr>
        <w:t>StockAnalysis — ALC $67.91, PE 40.64, forward PE 18.21, 7.70% margin, 3.71% ROE, $1.73B FCF,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