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ALKS</w:t>
      </w:r>
      <w:r>
        <w:rPr>
          <w:rFonts w:ascii="Calibri" w:hAnsi="Calibri"/>
          <w:b/>
          <w:color w:val="1A2010"/>
          <w:sz w:val="40"/>
        </w:rPr>
        <w:t xml:space="preserve">  Alkermes plc</w:t>
      </w:r>
    </w:p>
    <w:p>
      <w:pPr>
        <w:spacing w:after="120"/>
      </w:pPr>
      <w:r>
        <w:rPr>
          <w:rFonts w:ascii="Calibri" w:hAnsi="Calibri"/>
          <w:b/>
          <w:color w:val="6E8450"/>
          <w:sz w:val="18"/>
        </w:rPr>
        <w:t>GROWTH SLEEVE · 2026-07-16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Ireland</w:t>
      </w:r>
    </w:p>
    <w:p>
      <w:pPr>
        <w:spacing w:after="80"/>
      </w:pPr>
      <w:r>
        <w:rPr>
          <w:rFonts w:ascii="Calibri" w:hAnsi="Calibri"/>
          <w:b w:val="0"/>
          <w:color w:val="3A4A28"/>
          <w:sz w:val="20"/>
        </w:rPr>
        <w:t>Alkermes is a global biopharmaceutical company focused on developing and commercializing treatments for central nervous system disorders including schizophrenia, bipolar I disorder, alcohol and opioid dependence, and narcolepsy. Key marketed products include ARISTADA, VIVITROL, LYBALVI, and LUMRYZ (acquired via Avadel Pharmaceuticals in February 2026). The company also licenses its proprietary drug delivery technology platforms to third parties. Headquartered in Dublin, Ireland with primary operations in the United States.</w:t>
      </w:r>
    </w:p>
    <w:p>
      <w:r>
        <w:rPr>
          <w:rFonts w:ascii="Calibri" w:hAnsi="Calibri"/>
          <w:b/>
          <w:color w:val="6E8450"/>
          <w:sz w:val="18"/>
        </w:rPr>
        <w:t>2,800 Employees · https://www.alkermes.com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Alkermes completed the transformative acquisition of Avadel Pharmaceuticals in February 2026, adding LUMRYZ (narcolepsy) and expanding into the sleep disorder market — Q1 2026 LUMRYZ generated $39.5M in Alkermes' ownership period (~$72M full-quarter) [1]. LYBALVI for schizophrenia/bipolar I continued its growth trajectory with $92.4M in Q1 2026 revenue [1]. AI Deployment (0/2): No evidence of AI-powered products or AI-driven internal efficiency gains; the company's focus remains on traditional biopharmaceutical R&amp;D and proprietary drug delivery technologies [2]. Market Share (1/2): Alkermes holds meaningful positions in long-acting injectable antipsychotics (ARISTADA: $93.8M Q1) and opioid dependence treatment (VIVITROL: $112.4M Q1), but is not the category leader in any single therapeutic area — Johnson &amp; Johnson's Invega Sustenna dominates LAI antipsychotics [1]. Pipeline (1/2): The Avadel acquisition provides a growth platform, but specific next-generation product candidates with defined launch timelines beyond the existing four-product portfolio are limited [1]. R&amp;D Intensity (1/1): R&amp;D spending consistent with specialty pharma peers, supporting ongoing pipeline development in CNS disorders across multiple mechanisms of action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Alkermes' mission focuses on developing innovative medicines to address unmet needs in CNS disorders — clear, specific to its therapeutic areas, and connects to genuine patient suffering in addiction and mental illness, but not distinctively articulated beyond standard biopharma purpose statements [2]. Community Impact (1/2): The company maintains community grant programs, employee volunteer initiatives, and patient access programs for its medicines including VIVITROL for opioid addiction, which directly serves communities devastated by the opioid crisis [2]. Corporate Responsibility Report published annually. Employee Retention (0/2): Former CEO Richard Pops served 30+ years providing exceptional leadership continuity, but he has now been succeeded by Blair Jackson — the CEO succession introduces uncertainty [2]. No specific employee tenure or voluntary turnover data publicly available beyond the transition period. Insider Buying (0/2): Recent insider activity is predominantly selling — officers exercised options and sold shares in March-April 2026 including $319K by Craig Hopkinson and $120K by David Gaffin, representing net insider selling from routine compensation activity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90% scores 0.91 (up significantly from 3.85% pre-Avadel due to $1.58B acquisition debt against $511.86M cash) [3]. ROE of 9.36% scores 0.62 at 2x weight (depressed by Avadel deal amortization charges). Revenue Growth YoY of -10.6% (FY2025 pre-Avadel) scores 0.31, though Q1 2026 grew 28.2% with Avadel contribution — the FY2025 decline reflects legacy ARISTADA royalty loss [1]. Revenue Growth 5yr CAGR of 9.9% scores 0.99 at 2x weight. Forward P/E of 15.28 scores 1.0 (attractive for specialty pharma with expanding revenue). Profit margin of 9.78% scores 0.49 (GAAP depressed by $150M noncash inventory step-up and $50M Avadel transaction costs). PEG of 1.96 scores 0.52 at 2x weight. Weighted sum 6.99/10 = Infrastructure 7 [3]. Liquidity: 2.67M avg volume x $51.87 = $138.5M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Alkermes under Richard Pops' 30+ year tenure demonstrated meaningful infinite game qualities — patient investment in CNS neuroscience, building proprietary drug delivery technology platforms, and persistent R&amp;D through multiple market cycles. The Avadel acquisition extends this pattern of long-term capability building in sleep disorders. However, the CEO succession to Blair Jackson introduces uncertainty about strategic continuity, and the emphasis on quarterly revenue targets and market share metrics reflects finite game language in investor communications.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Alkermes' focus on addressing unmet needs in CNS disorders — addiction, schizophrenia, bipolar disorder, narcolepsy — represents a genuine cause connecting the company to meaningful patient outcomes in areas where treatment gaps are severe [2]. Richard Pops led the company for three decades with consistent neuroscience focus, demonstrating resilience through multiple market cycles and competitive pressures. The cause is therapeutically specific and genuine, though it reads more as mission than transformative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30+ year CEO tenure of Richard Pops provided exceptional organizational stability and continuity, and employees have generally described supportive cross-functional relationships and people-first values [2]. However, the CEO succession to Blair Jackson and the simultaneous Avadel integration create organizational change fatigue and uncertainty. The company's 2,800-person workforce is navigating both leadership transition and cultural integration of the acquired Avadel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Alkermes acknowledges competitors' strengths in CNS therapeutics, particularly Johnson &amp; Johnson (long-acting injectable dominance), Teva (generic antipsychotics), and Jazz Pharmaceuticals (established Xyrem/Xywav narcolepsy franchise) [1]. The Avadel acquisition reflects competitive learning — entering narcolepsy after observing Jazz's success building a sleep disorder franchise, seeking to compete through differentiated formulation rather than head-on market share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Avadel acquisition in February 2026 represents meaningful strategic evolution — expanding from addiction/schizophrenia into narcolepsy/sleep disorders with $315-335M projected LUMRYZ revenue, creating a diversified CNS platform [1]. The company evolved from a pure drug delivery technology licensor to an integrated commercial pharma company over two decades. These are incremental rather than transformative pivots, but show willingness to adapt and build new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Richard Pops demonstrated courage in maintaining exclusive focus on CNS therapeutics when many peers chased higher-growth oncology, and the Avadel acquisition — Alkermes' largest deal at approximately $2B — required conviction to lever up a historically debt-averse balance sheet from 3.85% to 90% D/E [1]. This capital structure transformation for long-term platform building is a genuine sacrifice of near-term financial safety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Alkermes is at an inflection point following the transformative Avadel acquisition in February 2026, creating a diversified CNS platform with four commercial products generating $338.1M in Q1 proprietary sales (+28.2% YoY including Avadel) [1]. The 2026 guidance of $1.73-1.84B total revenue (17-25% growth) with LUMRYZ contributing $315-335M validates the acquisition thesis, while core products VIVITROL ($460-480M), ARISTADA ($365-385M), and LYBALVI ($380-400M) provide a durable franchise with high switching costs in mental health treatment [1]. Forward P/E of 15.28 is undemanding for a specialty pharma with accelerating top-line growth and expanding therapeutic reach, and the stock's 75% gain over 52 weeks reflects growing market recognition of the combined platform's value. Free cash flow generation of $221.8M (TTM) provides flexibility for debt reduction post-acquisition [3].</w:t>
      </w:r>
    </w:p>
    <w:p>
      <w:pPr>
        <w:spacing w:after="120"/>
      </w:pPr>
      <w:r>
        <w:rPr>
          <w:rFonts w:ascii="Calibri" w:hAnsi="Calibri"/>
          <w:b w:val="0"/>
          <w:color w:val="3A4A28"/>
          <w:sz w:val="20"/>
        </w:rPr>
        <w:t>The bear case centers on integration execution risk and temporarily depressed profitability. GAAP EPS of -$0.40 in Q1 2026 reflects $150M noncash inventory step-up charges and $50M transaction costs from the Avadel deal, and D/E has surged from 3.85% to 90% ($1.58B debt vs. $511.86M cash) [3]. LUMRYZ faces direct competition from Jazz Pharmaceuticals' established Xyrem/Xywav narcolepsy franchise with significantly larger market share and brand recognition. The CEO succession from 30-year veteran Richard Pops to Blair Jackson during the largest acquisition in company history creates dual leadership transition risk. FY2025 revenue declined 10.6% (pre-Avadel) due to legacy ARISTADA royalty loss, and the 2026 growth is acquisition-driven rather than organic. Net insider selling by multiple officers in March-April 2026 suggests executives may be de-risking personal exposure rather than demonstrating conviction at current elevated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LUMRYZ revenue ramp toward $315-335M 2026 target with full-year contribution, validating the Avadel acquisition thesis and driving combined platform revenue to $1.73-1.84B [1]</w:t>
      </w:r>
    </w:p>
    <w:p>
      <w:pPr>
        <w:spacing w:before="40" w:after="40"/>
        <w:ind w:left="283"/>
      </w:pPr>
      <w:r>
        <w:rPr>
          <w:rFonts w:ascii="Calibri" w:hAnsi="Calibri"/>
          <w:b/>
          <w:color w:val="4A6B25"/>
          <w:sz w:val="20"/>
        </w:rPr>
        <w:t xml:space="preserve">2. </w:t>
      </w:r>
      <w:r>
        <w:rPr>
          <w:rFonts w:ascii="Calibri" w:hAnsi="Calibri"/>
          <w:b w:val="0"/>
          <w:color w:val="3A4A28"/>
          <w:sz w:val="20"/>
        </w:rPr>
        <w:t>LYBALVI continued market share gains in schizophrenia/bipolar I with Q1 revenue of $92.4M (+30%+ growth trajectory) as the brand reaches broader market adoption [1]</w:t>
      </w:r>
    </w:p>
    <w:p>
      <w:pPr>
        <w:spacing w:before="40" w:after="40"/>
        <w:ind w:left="283"/>
      </w:pPr>
      <w:r>
        <w:rPr>
          <w:rFonts w:ascii="Calibri" w:hAnsi="Calibri"/>
          <w:b/>
          <w:color w:val="4A6B25"/>
          <w:sz w:val="20"/>
        </w:rPr>
        <w:t xml:space="preserve">3. </w:t>
      </w:r>
      <w:r>
        <w:rPr>
          <w:rFonts w:ascii="Calibri" w:hAnsi="Calibri"/>
          <w:b w:val="0"/>
          <w:color w:val="3A4A28"/>
          <w:sz w:val="20"/>
        </w:rPr>
        <w:t>Avadel integration synergy realization and debt reduction from $1.58B balance using $221.8M+ annual free cash flow, improving GAAP profitability as one-time charges normalize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absorbing Avadel while navigating CEO succession from 30-year veteran Richard Pops to Blair Jackson creates operational complexity during a critical growth period [1][2]</w:t>
      </w:r>
    </w:p>
    <w:p>
      <w:pPr>
        <w:spacing w:before="40" w:after="40"/>
        <w:ind w:left="283"/>
      </w:pPr>
      <w:r>
        <w:rPr>
          <w:rFonts w:ascii="Calibri" w:hAnsi="Calibri"/>
          <w:b/>
          <w:color w:val="4A6B25"/>
          <w:sz w:val="20"/>
        </w:rPr>
        <w:t xml:space="preserve">2. </w:t>
      </w:r>
      <w:r>
        <w:rPr>
          <w:rFonts w:ascii="Calibri" w:hAnsi="Calibri"/>
          <w:b w:val="0"/>
          <w:color w:val="3A4A28"/>
          <w:sz w:val="20"/>
        </w:rPr>
        <w:t>LUMRYZ competitive pressure from Jazz Pharmaceuticals' established Xyrem/Xywav narcolepsy franchise, which holds dominant market share and deep physician relationships [1]</w:t>
      </w:r>
    </w:p>
    <w:p>
      <w:pPr>
        <w:spacing w:before="40" w:after="40"/>
        <w:ind w:left="283"/>
      </w:pPr>
      <w:r>
        <w:rPr>
          <w:rFonts w:ascii="Calibri" w:hAnsi="Calibri"/>
          <w:b/>
          <w:color w:val="4A6B25"/>
          <w:sz w:val="20"/>
        </w:rPr>
        <w:t xml:space="preserve">3. </w:t>
      </w:r>
      <w:r>
        <w:rPr>
          <w:rFonts w:ascii="Calibri" w:hAnsi="Calibri"/>
          <w:b w:val="0"/>
          <w:color w:val="3A4A28"/>
          <w:sz w:val="20"/>
        </w:rPr>
        <w:t>Leveraged balance sheet — D/E surging from 3.85% to 90% post-Avadel constrains financial flexibility if integration synergies underperform or CNS market conditions deteriorate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Alkermes operates in specialty biopharmaceuticals with physically manufactured drug products — long-acting injectables (ARISTADA), oral formulations (LYBALVI, LUMRYZ), and naltrexone implants (VIVITROL) — behind deeply regulated FDA approval processes that AI structurally cannot displace [2]. Drug manufacturing requires physical production facilities, cold-chain distribution, and clinical administration. However, AI tools are increasingly used by competitors in drug discovery, clinical trial optimization, and formulation design, creating moderate competitive pressure on R&amp;D efficiency. The CNS therapeutic space specifically involves complex patient treatment decisions where AI could augment but not replace physician prescribing [2]. AI Opportunity (1/1): While Alkermes does not generate AI revenue directly, its proprietary drug delivery technology platforms (NanoCrystal, LinkeRx) could benefit from AI-enhanced formulation design, and AI tools are being adopted across pharma to accelerate development timelines — an enabler for the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Alkermes Q1 2026 Earnings Release — $392.9M total revenue (+28.2%), VIVITROL $112.4M, ARISTADA $93.8M, LYBALVI $92.4M, LUMRYZ $39.5M (partial quarter); 2026 guidance $1.73-1.84B, May 2026</w:t>
      </w:r>
    </w:p>
    <w:p>
      <w:pPr>
        <w:spacing w:before="20" w:after="20"/>
        <w:ind w:left="170"/>
      </w:pPr>
      <w:r>
        <w:rPr>
          <w:rFonts w:ascii="Calibri" w:hAnsi="Calibri"/>
          <w:b/>
          <w:color w:val="4A6B25"/>
          <w:sz w:val="15"/>
        </w:rPr>
        <w:t xml:space="preserve">2. </w:t>
      </w:r>
      <w:r>
        <w:rPr>
          <w:rFonts w:ascii="Calibri" w:hAnsi="Calibri"/>
          <w:b w:val="0"/>
          <w:color w:val="3A4A28"/>
          <w:sz w:val="17"/>
        </w:rPr>
        <w:t>Alkermes Corporate Profile — CEO succession (Richard Pops to Blair Jackson), CNS mission, drug delivery technology platforms, community programs,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Yahoo Finance — ALKS financial metrics: $51.87 price, 57.15 trailing PE, 15.28 forward PE, 90% D/E, 9.36% ROE, 9.78% profit margin,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