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ALMS</w:t>
      </w:r>
      <w:r>
        <w:rPr>
          <w:rFonts w:ascii="Calibri" w:hAnsi="Calibri"/>
          <w:b/>
          <w:color w:val="1A2010"/>
          <w:sz w:val="40"/>
        </w:rPr>
        <w:t xml:space="preserve">  Alumis Inc.</w:t>
      </w:r>
    </w:p>
    <w:p>
      <w:pPr>
        <w:spacing w:after="120"/>
      </w:pPr>
      <w:r>
        <w:rPr>
          <w:rFonts w:ascii="Calibri" w:hAnsi="Calibri"/>
          <w:b/>
          <w:color w:val="6E8450"/>
          <w:sz w:val="18"/>
        </w:rPr>
        <w:t>GROWTH SLEEVE · 2026-07-08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Alumis Inc. is a clinical-stage biopharmaceutical company focused on the development and commercialization of transformative medicines for autoimmune disorders. The company's lead asset is envudeucitinib, a tyrosine kinase 2 (TYK2) inhibitor in Phase 3 for plaque psoriasis and Phase 2b for systemic lupus erythematosus. Pipeline includes A-005 (CNS-penetrant TYK2 inhibitor), lonigutamab (anti-IGF-1R for thyroid eye disease), and an IRF5 program. Founded in 2021, headquartered in South San Francisco, California.</w:t>
      </w:r>
    </w:p>
    <w:p>
      <w:r>
        <w:rPr>
          <w:rFonts w:ascii="Calibri" w:hAnsi="Calibri"/>
          <w:b/>
          <w:color w:val="6E8450"/>
          <w:sz w:val="18"/>
        </w:rPr>
        <w:t>225 Employees · https://www.alumis.com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Envudeucitinib achieved Phase 3 clinical validation in moderate-to-severe plaque psoriasis with PASI 90 responses of 59.9% and 53.1% at Week 16, increasing to 68.0% and 62.1% at Week 24 — results that position it as potentially best-in-class among TYK2 inhibitors versus Bristol-Myers' deucravacitinib (Sotyktu) [2]. NDA submission planned for Q4 2026 in psoriasis. AI Deployment (0/2): No AI-powered products or quantified AI-driven efficiencies identified. Market Share (1/2): No commercial products yet, but Phase 3 data suggests envudeucitinib could capture significant share in the $15B+ psoriasis market upon approval, with best-in-class efficacy data versus approved TYK2 competitors [2]. Product Pipeline (2/2): Specific pipeline with clear timelines — envudeucitinib NDA filing Q4 2026, potentially pivotal Phase 2b SLE topline data Q3 2026, A-005 Phase 1 for neuroinflammatory diseases, lonigutamab for thyroid eye disease, and unified TYK2 franchise strategy announcement Q2 2026 [1][2]. R&amp;D Intensity (1/1): As a clinical-stage biotech, virtually all expenditure (~$435M EBITDA loss on $8.4M revenue) is directed toward R&amp;D, well above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Alumis's purpose of developing 'transformative medicines for autoimmune disorders' through precision immunology is clear and identifies target patients, but is not yet distinctive enough from peer biotech mission statements — the company is too young (founded 2021) to have validated this purpose through sustained execution [3]. Community Impact (0/2): No evidence of charitable programs, community investment, or philanthropic initiatives found. Employee Retention (0/2): No publicly available data on employee tenure, turnover, or culture metrics for the 225-person organization. Insider Buying (2/2): Significant net insider buying in the last 12 months — CEO Martin Babler purchased $100,732 in stock, Director Srinivas Akkaraju bought approximately $2M across three transactions in December, and Director James Tananbaum acquired 411,764 shares at $17 per share in January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negligible Infrastructure metrics. D/E ratio of 6.3% is exemplary, reflecting $523M cash against only $36M debt as of Q1 2026, providing approximately 2.5 years of cash runway at current burn rates [1]. However, all profitability metrics score zero: ROE of -64.6%, TTM revenue of just $8.4M (collaboration income only, down 90% QoQ due to timing of milestone payments), and deeply negative profit margins reflecting ~$237M annual net losses from Phase 3 development costs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Alumis is too young (founded 2021, IPO 2024) to have demonstrated sustained infinite game thinking, though CEO Martin Babler's leadership shows purposeful direction. The company's scientific bet on allosteric TYK2 inhibition when Bristol-Myers dominated the category with a different mechanism demonstrates conviction. However, without multi-decade consistency, crisis survival, or organizational depth, the company defaults to finite scoring on most Sinek dimensions.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Alumis's purpose of developing precision immunology medicines for autoimmune disorders is genuine but has not been tested through market crises, leadership transitions, or multi-decade execution. The company was founded only in 2021 and went public in 2024 — there has been no opportunity to demonstrate whether this cause is resilient and inclusive in the Sinek sense [1][3]. The precision immunology vision is emerging but unvalidated.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225-person organization with recent leadership additions to build commercial operations capability [3]. CEO Babler has attracted experienced pharma talent from Genentech, Principia Biopharma, and other leading biotechs. The intimate team size likely supports good internal communication, but no specific data on psychological safety, empowerment, or voluntary turnover is available to distinguish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Alumis positions envudeucitinib against Bristol-Myers' Sotyktu (deucravacitinib) by pursuing a differentiated allosteric TYK2 mechanism, acknowledging the competitor's first-mover advantage while seeking to demonstrate superior efficacy [2]. The company's competitive language focuses on scientific differentiation and patient outcomes rather than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Too young to have faced an existential flexibility test. The company was purpose-built from inception around TYK2 inhibition for autoimmune disorders and has not yet had to make a painful strategic pivot in service of its Just Cause [1]. The expansion into neuroinflammatory diseases (A-005) and thyroid eye disease (lonigutamab) represents incremental broadening,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Babler made the courageous bet of pursuing allosteric TYK2 inhibition — a differentiated mechanism from the FDA-approved deucravacitinib — when the safe choice would have been a me-too approach [2][3]. The company raised $259M in Series C funding and successfully IPO'd to fund an ambitious multi-program pipeline. However, these decisions were made in a favorable biotech funding environment, reducing the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Alumis represents a high-conviction clinical-stage biotech play on the next generation of TYK2 inhibitors for autoimmune diseases. Envudeucitinib's Phase 3 psoriasis data — PASI 90 rates of 59.9-68.0% — is potentially best-in-class versus Bristol-Myers' Sotyktu (PASI 90 ~37% at Week 16), positioning the company for a significant share of the $15B+ psoriasis market upon anticipated NDA filing in Q4 2026 [1][2]. The $569.5M cash position provides approximately 2.5 years of runway, and the TYK2 franchise strategy encompasses multiple large autoimmune indications including SLE (Phase 2b data Q3 2026), neuroinflammatory diseases, and thyroid eye disease. Ten analysts cover the stock with a strong buy consensus and $40.10 median price target, reflecting substantial upside from the current $29.27 [4].</w:t>
      </w:r>
    </w:p>
    <w:p>
      <w:pPr>
        <w:spacing w:after="120"/>
      </w:pPr>
      <w:r>
        <w:rPr>
          <w:rFonts w:ascii="Calibri" w:hAnsi="Calibri"/>
          <w:b w:val="0"/>
          <w:color w:val="3A4A28"/>
          <w:sz w:val="20"/>
        </w:rPr>
        <w:t>The primary risk is binary clinical and regulatory execution — the company has no commercial revenue and will burn ~$350-400M annually through the NDA process, leaving approximately 1.5-2 years of cash beyond the planned Q4 2026 filing [1]. Revenue of $8.4M TTM is negligible collaboration income, and estimated FY2026 revenue of $7.8M represents a 67.5% decline as collaboration milestones lapse. The competitive landscape is intensifying with multiple TYK2 programs in development from established pharma companies, and the company's $3.7B market cap prices in substantial commercial success. Any clinical setback in the SLE program (Q3 2026 data) or regulatory delay for the psoriasis NDA could severely compress the valuation, as there is no revenue floor to cushion a miss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NDA submission for envudeucitinib in plaque psoriasis planned for Q4 2026, with potential FDA approval by mid-2027 based on compelling Phase 3 PASI 90 data of 59.9-68.0%</w:t>
      </w:r>
    </w:p>
    <w:p>
      <w:pPr>
        <w:spacing w:before="40" w:after="40"/>
        <w:ind w:left="283"/>
      </w:pPr>
      <w:r>
        <w:rPr>
          <w:rFonts w:ascii="Calibri" w:hAnsi="Calibri"/>
          <w:b/>
          <w:color w:val="4A6B25"/>
          <w:sz w:val="20"/>
        </w:rPr>
        <w:t xml:space="preserve">2. </w:t>
      </w:r>
      <w:r>
        <w:rPr>
          <w:rFonts w:ascii="Calibri" w:hAnsi="Calibri"/>
          <w:b w:val="0"/>
          <w:color w:val="3A4A28"/>
          <w:sz w:val="20"/>
        </w:rPr>
        <w:t>Potentially pivotal Phase 2b topline data in systemic lupus erythematosus expected Q3 2026, which could open a second major autoimmune indication worth $5B+</w:t>
      </w:r>
    </w:p>
    <w:p>
      <w:pPr>
        <w:spacing w:before="40" w:after="40"/>
        <w:ind w:left="283"/>
      </w:pPr>
      <w:r>
        <w:rPr>
          <w:rFonts w:ascii="Calibri" w:hAnsi="Calibri"/>
          <w:b/>
          <w:color w:val="4A6B25"/>
          <w:sz w:val="20"/>
        </w:rPr>
        <w:t xml:space="preserve">3. </w:t>
      </w:r>
      <w:r>
        <w:rPr>
          <w:rFonts w:ascii="Calibri" w:hAnsi="Calibri"/>
          <w:b w:val="0"/>
          <w:color w:val="3A4A28"/>
          <w:sz w:val="20"/>
        </w:rPr>
        <w:t>TYK2 franchise strategy announcement in Q2 2026 expected to outline additional indications and partnership opportunities, with Kaken Pharmaceutical licensing deal providing up to $180M in milestones for Japan rights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clinical-stage risk with no commercial revenue — cash runway of approximately 2.5 years at current burn rate of $350-400M annually, with potential need for dilutive capital raise if NDA or approval is delayed</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Bristol-Myers' established Sotyktu franchise and multiple TYK2 programs in development from larger pharma companies with superior commercial infrastructure</w:t>
      </w:r>
    </w:p>
    <w:p>
      <w:pPr>
        <w:spacing w:before="40" w:after="40"/>
        <w:ind w:left="283"/>
      </w:pPr>
      <w:r>
        <w:rPr>
          <w:rFonts w:ascii="Calibri" w:hAnsi="Calibri"/>
          <w:b/>
          <w:color w:val="4A6B25"/>
          <w:sz w:val="20"/>
        </w:rPr>
        <w:t xml:space="preserve">3. </w:t>
      </w:r>
      <w:r>
        <w:rPr>
          <w:rFonts w:ascii="Calibri" w:hAnsi="Calibri"/>
          <w:b w:val="0"/>
          <w:color w:val="3A4A28"/>
          <w:sz w:val="20"/>
        </w:rPr>
        <w:t>Revenue decline of 67.5% expected for FY2026 as collaboration milestones lapse, and $3.7B market cap requires substantial commercial success upon approval to justify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Alumis's core business — developing TYK2 inhibitors for autoimmune diseases — involves complex molecular biology, rigorous clinical trials, FDA regulatory processes, and physical drug manufacturing that AI structurally cannot displace [1][2]. Drug development requires years of human-run clinical trials, patient recruitment, safety monitoring, and regulatory submissions that no AI system can substitute for. The highly regulated pharmaceutical approval pathway creates an impenetrable moat against AI disruption. AI may enhance certain drug discovery processes (molecular modeling, trial design optimization), but this benefits rather than threatens companies like Alumis. AI Opportunity (0/1): No AI-specific revenue, products, or quantified AI-driven efficiencies identified in public disclosures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Alumis Q1 2026 Financial Results Press Release — GlobeNewsWire, May 14, 2026</w:t>
      </w:r>
    </w:p>
    <w:p>
      <w:pPr>
        <w:spacing w:before="20" w:after="20"/>
        <w:ind w:left="170"/>
      </w:pPr>
      <w:r>
        <w:rPr>
          <w:rFonts w:ascii="Calibri" w:hAnsi="Calibri"/>
          <w:b/>
          <w:color w:val="4A6B25"/>
          <w:sz w:val="15"/>
        </w:rPr>
        <w:t xml:space="preserve">2. </w:t>
      </w:r>
      <w:r>
        <w:rPr>
          <w:rFonts w:ascii="Calibri" w:hAnsi="Calibri"/>
          <w:b w:val="0"/>
          <w:color w:val="3A4A28"/>
          <w:sz w:val="17"/>
        </w:rPr>
        <w:t>Alumis Phase 3 Envudeucitinib Psoriasis Results and NDA Plans — BioPharma Dive, BioTechTV, January 2026</w:t>
      </w:r>
    </w:p>
    <w:p>
      <w:pPr>
        <w:spacing w:before="20" w:after="20"/>
        <w:ind w:left="170"/>
      </w:pPr>
      <w:r>
        <w:rPr>
          <w:rFonts w:ascii="Calibri" w:hAnsi="Calibri"/>
          <w:b/>
          <w:color w:val="4A6B25"/>
          <w:sz w:val="15"/>
        </w:rPr>
        <w:t xml:space="preserve">3. </w:t>
      </w:r>
      <w:r>
        <w:rPr>
          <w:rFonts w:ascii="Calibri" w:hAnsi="Calibri"/>
          <w:b w:val="0"/>
          <w:color w:val="3A4A28"/>
          <w:sz w:val="17"/>
        </w:rPr>
        <w:t>Alumis CEO Martin Babler Insider Buying and Leadership — Investing.com, MedCity News,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ALMS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