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AMGN</w:t>
      </w:r>
      <w:r>
        <w:rPr>
          <w:rFonts w:ascii="Calibri" w:hAnsi="Calibri"/>
          <w:b/>
          <w:color w:val="1A2010"/>
          <w:sz w:val="40"/>
        </w:rPr>
        <w:t xml:space="preserve">  Amgen Inc.</w:t>
      </w:r>
    </w:p>
    <w:p>
      <w:pPr>
        <w:spacing w:after="120"/>
      </w:pPr>
      <w:r>
        <w:rPr>
          <w:rFonts w:ascii="Calibri" w:hAnsi="Calibri"/>
          <w:b/>
          <w:color w:val="6E8450"/>
          <w:sz w:val="18"/>
        </w:rPr>
        <w:t>DIVIDEND SLEEVE · 2026-07-10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Amgen Inc. is the world's largest independent biotechnology company by revenue, discovering, developing, manufacturing, and delivering innovative human therapeutics. Key therapeutic areas include oncology, cardiovascular, bone health, inflammation, and rare diseases. Portfolio includes blockbusters Enbrel, Prolia/XGEVA, Otezla, Repatha, and the Horizon Therapeutics rare disease franchise (acquired 2023 for $28B). Pipeline includes MariTide (obesity GLP-1), multiple biosimilars, and novel biologic candidates. Founded in 1980, headquartered in Thousand Oaks, California. Market cap approximately $196B.</w:t>
      </w:r>
    </w:p>
    <w:p>
      <w:r>
        <w:rPr>
          <w:rFonts w:ascii="Calibri" w:hAnsi="Calibri"/>
          <w:b/>
          <w:color w:val="6E8450"/>
          <w:sz w:val="18"/>
        </w:rPr>
        <w:t>31,500 Employees · https://www.amgen.com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Sixteen brands achieved double-digit growth in Q1 2026, and six key growth drivers collectively grew 24% YoY, enabling the company to grow through expected patent expirations [1]. The $28B Horizon Therapeutics acquisition in 2023 transformed Amgen's rare disease portfolio and represents a successful strategic expansion. Multiple new product launches across oncology, biosimilars, and rare disease demonstrate sustained execution. AI Deployment (1/2): Amgen announced a dedicated EVP role for R&amp;D, Artificial Intelligence and Data in its 2026 leadership reshuffle, signaling company-wide commitment to AI integration [3]. AI is deployed across drug discovery, development, and commercial operations to 'cut down the time it takes to find, analyze, and aggregate data from days and weeks to moments' [3]. No specific AI revenue or savings figures publicly quantified. Market Share (2/2): World's largest independent biotech by revenue ($37B+), with leading or dominant positions in bone health (Prolia/XGEVA), biosimilars (Amjevita, Riabni), and rare disease (Horizon portfolio) [1]. Product Pipeline (2/2): MariTide (maridebart cafraglutide) represents potential blockbuster entry into the $100B+ obesity market against Novo Nordisk and Eli Lilly. Multiple Phase 3 programs and BLA submissions planned in 2026 with specific timelines and revenue visibility [1]. R&amp;D Intensity (1/1): R&amp;D spending of approximately $4.5-5B annually represents ~13% of revenue, above the biotech/pharma industry average and reflecting top-quartile investment in therapeutic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Amgen's mission 'to serve patients' has been a genuine north star for 45+ years, validated by consistent investment in rare diseases (Horizon acquisition), drug access programs for uninsured patients, and willingness to enter therapeutic areas with small patient populations [1][2]. Strategic decisions clearly trace to this purpose — the $28B Horizon bet on rare disease was patient-need-driven, not solely revenue-driven. The mission differentiates from peers who frame purpose in terms of 'innovation' rather than 'service.' Community Impact (1/2): Amgen Foundation supports science education programs and STEM pipeline development. Patient access programs provide medications to uninsured patients. Standard for large pharma but aligned with mission [2]. Employee Retention (0/2): Glassdoor reviews paint a concerning picture — employees describe 'toxic culture,' micromanagement, and leadership 'disconnected from the technical realities of the work' [4]. Jobs being actively transitioned to India with workers expected to train their replacements. These signals indicate deteriorating trust and retention. Insider Buying (0/2): No evidence of meaningful net insider buying by CEO Robert Bradway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Q1 2026 total revenues grew 6% to $8.6B with non-GAAP EPS of $5.15 (up 5% YoY), and full-year guidance of $37.1-38.5B revenue with $21.70-23.10 non-GAAP EPS reflects continued growth through patent expirations [1]. ROE of 101.32% and profit margin of 20.96% demonstrate world-class profitability [5]. Forward P/E of 16.09 is attractively below the 20 target. The major weakness is D/E of 624%, driven by the $28B Horizon acquisition debt and aggressive share buybacks that reduced the equity base, scoring 0 on this metric [5]. Dividend history is exemplary: 15 consecutive years of growth, stable payout ratio of 68.21%, and 5yr dividend growth CAGR of approximately 6.0% [5]. Revenue growth YoY of 9.07% on a TTM basis approaches the 10% target, and 5yr CAGR of approximately 7.5% reflects steady expansion enhanced by the Horizon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Amgen presents a paradox: a company with a genuine 45-year patient-serving mission and a pattern of courageous strategic bets (Horizon acquisition, MariTide development), yet undermined by a toxic internal culture, aggressive financial engineering, and employee dissatisfaction. The company plays an infinite game in its R&amp;D investments and market entry decisions but a finite game in how it treats its workforce — outsourcing to India while expecting employees to train replacements is the antithesis of trusting teams.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serve patients' has been Amgen's north star for 45+ years, validated by consistent investment in rare diseases where patient populations are small (Horizon acquisition), drug access programs that reduce revenue to serve uninsured patients, and willingness to enter therapeutic areas with uncertain commercial prospects [1][2]. Strategic decisions — the $28B Horizon bet, MariTide development for obesity, biosimilar portfolio expansion — trace back to serving patients with serious illness. However, the aggressive financial engineering ($63B+ debt, massive buybacks) and outsourcing of jobs to India create tension with the mission, suggesting some shareholder-value optimization alongside patient service.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deteriorating workplace culture. Employees report 'toxic' management, micromanagement, and leadership 'disconnected from the technical realities of the work' [4]. Most concerning: jobs are being actively transitioned to India, with employees expected to train their replacements while maintaining their own workloads. The DS&amp;AI and EDSE teams receive particularly harsh criticism for leadership lacking technical expertise. These signals indicate low psychological safety, fear-based management in certain divisions, and organizational policies that erode trust. The 2026 leadership reshuffle (CTO retirement, new AI/Data roles) introduces additional transition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Amgen explicitly acknowledges the strengths of competitors and uses competitive pressure as motivation for improvement. Entering the obesity market against Novo Nordisk (the clear leader) and Eli Lilly reflects a willingness to compete against companies whose strengths are acknowledged rather than dismissed [1]. Management commentary in earnings calls frames competition in terms of patient outcomes and scientific differentiation rather than market share warfare, and the biosimilar strategy implicitly acknowledges that competitors' original biologics set quality standards worth competing against.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Amgen has evolved significantly from its origins as a small biotech startup into the world's largest independent biotech company. Key strategic pivots include expansion from biologics into biosimilars (Amjevita, Riabni), the $28B Horizon acquisition expanding into rare disease, and the entry into obesity with MariTide [1]. Each pivot was meaningful but incremental — Amgen never abandoned a core business line or made a transformative bet that required completely reinventing the company. The evolution has been additive rather than existential.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Amgen demonstrates a clear pattern of making costly long-term bets. The $28B Horizon Therapeutics acquisition was a transformative bet on rare disease that significantly increased debt but expanded the company's therapeutic reach [1]. Continued heavy R&amp;D investment (~$5B annually) through patent cliff periods when competitors cut R&amp;D demonstrates commitment to future capability. Entering the obesity market with MariTide against Novo Nordisk and Eli Lilly — entrenched competitors with massive head starts — requires conviction. These are not cheap bets; they represent billions in capital deployed against uncertain returns in service of the patient-serving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Amgen is navigating its patent cliff with remarkable execution — 16 brands delivered double-digit growth in Q1 2026 and six key growth drivers collectively grew 24% YoY, enabling 6% total revenue growth to $8.6B despite biosimilar competition against legacy franchises [1]. Full-year 2026 guidance of $37.1-38.5B revenue and $21.70-23.10 non-GAAP EPS reflects continued momentum. At a forward P/E of 16.09 with 2.79% dividend yield and 15 consecutive years of dividend growth, AMGN offers a rare combination of growth and income in mega-cap biotech [5]. The $28B Horizon rare disease portfolio is integrating successfully, MariTide represents a potential blockbuster entry into the $100B+ obesity market, and the robust pipeline positions Amgen for sustained growth beyond the patent cliff.</w:t>
      </w:r>
    </w:p>
    <w:p>
      <w:pPr>
        <w:spacing w:after="120"/>
      </w:pPr>
      <w:r>
        <w:rPr>
          <w:rFonts w:ascii="Calibri" w:hAnsi="Calibri"/>
          <w:b w:val="0"/>
          <w:color w:val="3A4A28"/>
          <w:sz w:val="20"/>
        </w:rPr>
        <w:t>The bear case centers on Amgen's extreme leverage and workforce concerns. D/E of 624% — driven by the $28B Horizon acquisition and aggressive buybacks — leaves minimal financial flexibility if growth decelerates or debt markets tighten [5]. PEG ratio of 3.41 suggests the stock is pricing in growth that may be challenging to deliver as more legacy products face biosimilar competition. Glassdoor reviews describing 'toxic culture,' outsourcing to India, and disconnected leadership represent a material risk to the innovation engine that drives long-term value — biotech companies depend on attracting and retaining top scientific talent [4]. The CTO retirement in June 2026 and leadership reshuffle introduce transition risk during a critical period. Revenue growth of 9.07% is solid but decelerating from 10% in 2025, and Sustainalytics flags a 'Significant' controversy level that could affect ESG-focused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MariTide (maridebart cafraglutide) clinical data readouts in 2026-2027 could validate Amgen's entry into the $100B+ obesity/GLP-1 market, potentially the largest commercial opportunity in biotech history</w:t>
      </w:r>
    </w:p>
    <w:p>
      <w:pPr>
        <w:spacing w:before="40" w:after="40"/>
        <w:ind w:left="283"/>
      </w:pPr>
      <w:r>
        <w:rPr>
          <w:rFonts w:ascii="Calibri" w:hAnsi="Calibri"/>
          <w:b/>
          <w:color w:val="4A6B25"/>
          <w:sz w:val="20"/>
        </w:rPr>
        <w:t xml:space="preserve">2. </w:t>
      </w:r>
      <w:r>
        <w:rPr>
          <w:rFonts w:ascii="Calibri" w:hAnsi="Calibri"/>
          <w:b w:val="0"/>
          <w:color w:val="3A4A28"/>
          <w:sz w:val="20"/>
        </w:rPr>
        <w:t>Continued execution through the patent cliff with 16 brands delivering double-digit growth and six key growth drivers growing 24% collectively, demonstrating pipeline depth beyond legacy franchises</w:t>
      </w:r>
    </w:p>
    <w:p>
      <w:pPr>
        <w:spacing w:before="40" w:after="40"/>
        <w:ind w:left="283"/>
      </w:pPr>
      <w:r>
        <w:rPr>
          <w:rFonts w:ascii="Calibri" w:hAnsi="Calibri"/>
          <w:b/>
          <w:color w:val="4A6B25"/>
          <w:sz w:val="20"/>
        </w:rPr>
        <w:t xml:space="preserve">3. </w:t>
      </w:r>
      <w:r>
        <w:rPr>
          <w:rFonts w:ascii="Calibri" w:hAnsi="Calibri"/>
          <w:b w:val="0"/>
          <w:color w:val="3A4A28"/>
          <w:sz w:val="20"/>
        </w:rPr>
        <w:t>AI-focused leadership reshuffle with dedicated EVP for R&amp;D, AI and Data could accelerate drug discovery timelines and improve clinical trial efficiency, reducing time-to-market for pipeline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624% leaves minimal financial flexibility — $63B+ in total debt from the Horizon acquisition and buybacks creates refinancing risk if interest rates remain elevated or credit markets tighten</w:t>
      </w:r>
    </w:p>
    <w:p>
      <w:pPr>
        <w:spacing w:before="40" w:after="40"/>
        <w:ind w:left="283"/>
      </w:pPr>
      <w:r>
        <w:rPr>
          <w:rFonts w:ascii="Calibri" w:hAnsi="Calibri"/>
          <w:b/>
          <w:color w:val="4A6B25"/>
          <w:sz w:val="20"/>
        </w:rPr>
        <w:t xml:space="preserve">2. </w:t>
      </w:r>
      <w:r>
        <w:rPr>
          <w:rFonts w:ascii="Calibri" w:hAnsi="Calibri"/>
          <w:b w:val="0"/>
          <w:color w:val="3A4A28"/>
          <w:sz w:val="20"/>
        </w:rPr>
        <w:t>Glassdoor reviews describing toxic culture and job outsourcing to India threaten talent retention at a company whose value depends entirely on attracting and retaining world-class scientists and drug developers</w:t>
      </w:r>
    </w:p>
    <w:p>
      <w:pPr>
        <w:spacing w:before="40" w:after="40"/>
        <w:ind w:left="283"/>
      </w:pPr>
      <w:r>
        <w:rPr>
          <w:rFonts w:ascii="Calibri" w:hAnsi="Calibri"/>
          <w:b/>
          <w:color w:val="4A6B25"/>
          <w:sz w:val="20"/>
        </w:rPr>
        <w:t xml:space="preserve">3. </w:t>
      </w:r>
      <w:r>
        <w:rPr>
          <w:rFonts w:ascii="Calibri" w:hAnsi="Calibri"/>
          <w:b w:val="0"/>
          <w:color w:val="3A4A28"/>
          <w:sz w:val="20"/>
        </w:rPr>
        <w:t>PEG of 3.41 implies growth expectations that may be difficult to sustain as more legacy products (Enbrel, Otezla) face biosimilar and generic competition, with revenue growth already decelerating from 10%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Biotechnology drug development requires physical wet lab research, multi-year clinical trials with actual patients, FDA regulatory approval processes, and complex biologics manufacturing — none of which can be substituted by AI [2]. Regulatory barriers (average 10-15 year drug development timeline, $2B+ development cost), IP protection (patent portfolios), and manufacturing complexity (biologics require specialized facilities) create deep structural moats against AI disruption. However, AI is accelerating the drug discovery process, which could benefit competitors by reducing their time-to-market and discovery costs. Amgen's peers investing in AI-driven drug discovery could compress the competitive advantage of Amgen's 45-year institutional knowledge. AI Opportunity (1/1): Amgen has made AI a strategic priority, creating a dedicated EVP role for R&amp;D, Artificial Intelligence and Data in 2026 [3]. AI tools are deployed across drug discovery (molecular design, target identification), clinical trial optimization, manufacturing process control, and commercial operations. While specific AI revenue is not separately reported, the operational integration of AI across the value chain represents meaningful productivity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Amgen Q1 2026 Financial Results — amgen.com Newsroom and Investor Presentation, April 2026</w:t>
      </w:r>
    </w:p>
    <w:p>
      <w:pPr>
        <w:spacing w:before="20" w:after="20"/>
        <w:ind w:left="170"/>
      </w:pPr>
      <w:r>
        <w:rPr>
          <w:rFonts w:ascii="Calibri" w:hAnsi="Calibri"/>
          <w:b/>
          <w:color w:val="4A6B25"/>
          <w:sz w:val="15"/>
        </w:rPr>
        <w:t xml:space="preserve">2. </w:t>
      </w:r>
      <w:r>
        <w:rPr>
          <w:rFonts w:ascii="Calibri" w:hAnsi="Calibri"/>
          <w:b w:val="0"/>
          <w:color w:val="3A4A28"/>
          <w:sz w:val="17"/>
        </w:rPr>
        <w:t>Amgen FY2025 Annual Results, 10-K Filing, and Responsibility Report — SEC, February 2026</w:t>
      </w:r>
    </w:p>
    <w:p>
      <w:pPr>
        <w:spacing w:before="20" w:after="20"/>
        <w:ind w:left="170"/>
      </w:pPr>
      <w:r>
        <w:rPr>
          <w:rFonts w:ascii="Calibri" w:hAnsi="Calibri"/>
          <w:b/>
          <w:color w:val="4A6B25"/>
          <w:sz w:val="15"/>
        </w:rPr>
        <w:t xml:space="preserve">3. </w:t>
      </w:r>
      <w:r>
        <w:rPr>
          <w:rFonts w:ascii="Calibri" w:hAnsi="Calibri"/>
          <w:b w:val="0"/>
          <w:color w:val="3A4A28"/>
          <w:sz w:val="17"/>
        </w:rPr>
        <w:t>Amgen AI Leadership Reshuffle and Innovation Coverage — Yahoo Finance, Stocktitan, amgen.com Stories,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Amgen Work Environment and Culture,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 Analysis — AMGN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