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AMRX</w:t>
      </w:r>
      <w:r>
        <w:rPr>
          <w:rFonts w:ascii="Calibri" w:hAnsi="Calibri"/>
          <w:b/>
          <w:color w:val="1A2010"/>
          <w:sz w:val="40"/>
        </w:rPr>
        <w:t xml:space="preserve">  Amneal Pharmaceuticals, Inc.</w:t>
      </w:r>
    </w:p>
    <w:p>
      <w:pPr>
        <w:spacing w:after="120"/>
      </w:pPr>
      <w:r>
        <w:rPr>
          <w:rFonts w:ascii="Calibri" w:hAnsi="Calibri"/>
          <w:b/>
          <w:color w:val="6E8450"/>
          <w:sz w:val="18"/>
        </w:rPr>
        <w:t>GROWTH SLEEVE · 2026-07-11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NasdaqGS · United States</w:t>
      </w:r>
    </w:p>
    <w:p>
      <w:pPr>
        <w:spacing w:after="80"/>
      </w:pPr>
      <w:r>
        <w:rPr>
          <w:rFonts w:ascii="Calibri" w:hAnsi="Calibri"/>
          <w:b w:val="0"/>
          <w:color w:val="3A4A28"/>
          <w:sz w:val="20"/>
        </w:rPr>
        <w:t>Amneal Pharmaceuticals develops, manufactures, and distributes generic and specialty pharmaceutical products. The company operates through two segments: Generics (complex and high-value generic drugs) and Specialty (branded products including CREXONT for Parkinson's disease and BREKIYA autoinjector for cluster headaches and severe migraine). Also distributes through AvKARE to U.S. government channels. Co-founded by Chirag and Chintu Patel, headquartered in Bridgewater, New Jersey.</w:t>
      </w:r>
    </w:p>
    <w:p>
      <w:r>
        <w:rPr>
          <w:rFonts w:ascii="Calibri" w:hAnsi="Calibri"/>
          <w:b/>
          <w:color w:val="6E8450"/>
          <w:sz w:val="18"/>
        </w:rPr>
        <w:t>8,700 Employees · https://www.amneal.com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'Amneal 2.0' strategy executed since 2019 has transformed the company from a pure generics player into a diversified specialty/generics platform [1]. CREXONT (carbidopa-levodopa extended-release for Parkinson's) delivered $21M in Q1 2026 revenue and management reiterated peak sales guidance of $300-500M [2]. BREKIYA autoinjector for cluster headaches and severe migraine launched successfully with Q1 2026 revenue of $4.6M, up from $1.6M in Q4 2025 [2]. The AvKARE acquisition in 2020 added a meaningful government distribution channel. AI Deployment (0/2): No evidence of significant deployed AI capabilities, though industry-wide digital transformation initiatives in formulation R&amp;D are underway. Market Share (2/2): Q1 2026 net revenue of $723M positions Amneal as a meaningful player in the U.S. generic pharmaceutical market, with full-year 2026 guidance of $3.05-3.15B [1]. The company's focus on complex formulations with high barriers to entry creates durable competitive positioning against lower-quality generic manufacturers. Product Pipeline (2/2): Biosimilars pipeline represents the next major growth vector alongside continued CREXONT and BREKIYA ramp, supported by a strong cadence of generic launches in the Affordable Medicines segment [2]. R&amp;D Intensity (1/1): Ongoing investment in complex drug formulation development including extended-release, injectables, and biosimilar technologies.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Amneal's purpose centers on providing affordable, high-quality medicines to patients -- a genuinely meaningful mission validated by the company's growing Affordable Medicines portfolio and AvKARE's government distribution channel serving veterans and underserved populations [2]. The Patel brothers' return to leadership in 2019 was explicitly mission-driven, with Chirag Patel framing 'Amneal 2.0' as a return to the founding values of accessible healthcare [3]. Community Impact (1/2): The Affordable Medicines segment directly addresses drug affordability, and AvKARE's government channel serves military and veteran healthcare systems. However, no significant standalone philanthropic programs were identified. Employee Retention (1/2): The company employs 8,700 people and the founding Patel family's return to co-CEO roles in 2019 provided leadership stability after a period of management turnover. Insider Buying (1/2): The Patel brothers maintain significant equity ownership as co-founders and co-CEOs, aligning their interests with shareholders, though no notable recent open-market insider purchases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$723M net revenue with GAAP net income of $62M, up 411% from $12M in Q1 2025, and adjusted EBITDA of $202M, up 19% YoY [1]. The dramatic earnings improvement reflects margin expansion as specialty products (higher-margin) grow as a share of revenue -- management targets 45% gross margin for 2026, up from ~43% in 2025 [1]. However, the balance sheet remains heavily leveraged at 6,750.8% D/E, reflecting significant acquisition-related debt and intangible assets from the Impax merger. Profit margin of 4.01% GAAP remains thin despite rapid improvement. ROE is not calculable due to negative or minimal book equity. Forward P/E of 15.14 is attractive relative to the EPS growth trajectory of 410.5% [4]. Average daily volume of 1.88M shares at $17.01 provides adequate liquidity ($32M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Amneal under the Patel brothers' returned leadership demonstrates elements of infinite thinking through its 'Amneal 2.0' transformation -- pivoting from a commodity generics model to a diversified specialty/generics platform focused on affordable medicines. The founders' return to leadership after a period of management instability signals long-term commitment. However, the company's heavy debt burden from acquisitions and the inherent commodity pressures of generic pharmaceuticals create finite-game tensions.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Amneal's purpose of providing affordable, high-quality medicines is genuine and validated by the Affordable Medicines segment and AvKARE's government distribution [2][3]. Chirag Patel's framing of 'Amneal 2.0' as a return to founding values suggests mission-driven leadership. However, the generic pharmaceutical industry's competitive dynamics often reduce purpose to price competition, and the Just Cause lacks the transformative aspiration that defines the strongest examples.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Patel brothers' co-CEO structure demonstrates a family-oriented leadership model, and their return to active management in 2019 stabilized the company after a period of leadership turnover [3]. However, the high financial leverage creates cost-reduction pressure that can strain employee trust, and no specific evidence of employee engagement programs or cultural initiatives was identified. The 8,700-person workforce spans manufacturing, R&amp;D, and distribution operations.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Amneal competes with Teva, Viatris, and other generic manufacturers but has used competitive pressure to drive differentiation -- investing in complex formulations with high barriers to entry rather than competing purely on price in commoditized generics [3]. The pivot to specialty products (CREXONT, BREKIYA) reflects learning from rivals' strategies of combining generic scale with branded specialty margins.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Amneal has demonstrated meaningful strategic flexibility through the 'Amneal 2.0' transformation: pivoting from pure generics to a hybrid specialty/generics model, acquiring AvKARE for government distribution, and investing in biosimilars as the next growth vector [2][3]. The pivot to specialty (CREXONT, BREKIYA) represents genuine business model evolution. However, the heavy debt from the Impax merger constrains future flexibility, and the core generics business remains subject to price erosion.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Patel brothers' decision to return to active management and execute a multi-year transformation demonstrated leadership conviction. Taking on significant debt to fund the specialty portfolio and biosimilars pipeline represents a bet on long-term growth over short-term deleveraging [3]. However, the family-controlled structure reduces personal risk relative to outside CEO decision-making, and the company has yet to make a truly transformative bet comparable to abandoning a core business 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Amneal's 'Amneal 2.0' transformation is delivering tangible results: Q1 2026 revenue of $723M, net income up 411% YoY, and adjusted EBITDA of $202M demonstrate accelerating profitability as the specialty segment (CREXONT, BREKIYA) scales alongside a strong generics base [1]. Full-year 2026 guidance of $3.05-3.15B revenue and $740-770M adjusted EBITDA was reaffirmed, with gross margin expanding to ~45% from ~43% in 2025 [1]. CREXONT's $21M quarterly run-rate with $300-500M peak sales potential and BREKIYA's rapid adoption ($4.6M Q1 vs $1.6M Q4 2025) provide visible specialty growth drivers [2]. The forward P/E of 15.14 represents an attractive entry point for a company executing a fundamental business model upgrade.</w:t>
      </w:r>
    </w:p>
    <w:p>
      <w:pPr>
        <w:spacing w:after="120"/>
      </w:pPr>
      <w:r>
        <w:rPr>
          <w:rFonts w:ascii="Calibri" w:hAnsi="Calibri"/>
          <w:b w:val="0"/>
          <w:color w:val="3A4A28"/>
          <w:sz w:val="20"/>
        </w:rPr>
        <w:t>The primary concern remains the balance sheet: D/E of 6,750.8% reflects the heavy debt burden from the Impax merger and subsequent acquisitions, creating financial fragility in a rising-rate or economic downturn scenario [4]. GAAP profit margin of 4.01% is thin despite rapid improvement, leaving limited buffer if revenue growth stalls or generic pricing pressure intensifies. ROE is not calculable due to minimal or negative book equity. The generic pharmaceutical industry remains subject to secular pricing deflation, competitive launches, and potential regulatory changes (drug pricing reform) that could compress margins [3]. Additionally, the Patel family's controlling interest means minority shareholders have limited governance influence. The biosimilars pipeline, while promising, will require significant investment before contributing meaningful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CREXONT revenue trajectory toward $300-500M peak sales as Phase IV data (3.13 hours additional 'good on time') drives Parkinson's market share gains and treatment-naive patient adoption [2]</w:t>
      </w:r>
    </w:p>
    <w:p>
      <w:pPr>
        <w:spacing w:before="40" w:after="40"/>
        <w:ind w:left="283"/>
      </w:pPr>
      <w:r>
        <w:rPr>
          <w:rFonts w:ascii="Calibri" w:hAnsi="Calibri"/>
          <w:b/>
          <w:color w:val="4A6B25"/>
          <w:sz w:val="20"/>
        </w:rPr>
        <w:t xml:space="preserve">2. </w:t>
      </w:r>
      <w:r>
        <w:rPr>
          <w:rFonts w:ascii="Calibri" w:hAnsi="Calibri"/>
          <w:b w:val="0"/>
          <w:color w:val="3A4A28"/>
          <w:sz w:val="20"/>
        </w:rPr>
        <w:t>BREKIYA autoinjector adoption acceleration in cluster headache and severe migraine, with Q1 2026 revenue tripling sequentially to $4.6M signaling strong prescriber demand [2]</w:t>
      </w:r>
    </w:p>
    <w:p>
      <w:pPr>
        <w:spacing w:before="40" w:after="40"/>
        <w:ind w:left="283"/>
      </w:pPr>
      <w:r>
        <w:rPr>
          <w:rFonts w:ascii="Calibri" w:hAnsi="Calibri"/>
          <w:b/>
          <w:color w:val="4A6B25"/>
          <w:sz w:val="20"/>
        </w:rPr>
        <w:t xml:space="preserve">3. </w:t>
      </w:r>
      <w:r>
        <w:rPr>
          <w:rFonts w:ascii="Calibri" w:hAnsi="Calibri"/>
          <w:b w:val="0"/>
          <w:color w:val="3A4A28"/>
          <w:sz w:val="20"/>
        </w:rPr>
        <w:t>Biosimilars pipeline launches expected to provide the next major growth vector, leveraging Amneal's manufacturing scale and ANDA expertise for complex biologics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at 6,750.8% D/E creates financial fragility and constrains strategic flexibility -- a sustained revenue miss or rate shock could stress debt service capacity [4]</w:t>
      </w:r>
    </w:p>
    <w:p>
      <w:pPr>
        <w:spacing w:before="40" w:after="40"/>
        <w:ind w:left="283"/>
      </w:pPr>
      <w:r>
        <w:rPr>
          <w:rFonts w:ascii="Calibri" w:hAnsi="Calibri"/>
          <w:b/>
          <w:color w:val="4A6B25"/>
          <w:sz w:val="20"/>
        </w:rPr>
        <w:t xml:space="preserve">2. </w:t>
      </w:r>
      <w:r>
        <w:rPr>
          <w:rFonts w:ascii="Calibri" w:hAnsi="Calibri"/>
          <w:b w:val="0"/>
          <w:color w:val="3A4A28"/>
          <w:sz w:val="20"/>
        </w:rPr>
        <w:t>GAAP profit margin of 4.01% leaves minimal buffer against generic pricing deflation or unexpected manufacturing costs, and the gap between GAAP and adjusted metrics (adjusted EBITDA margin ~28% vs GAAP net margin ~8.6%) warrants scrutiny [1]</w:t>
      </w:r>
    </w:p>
    <w:p>
      <w:pPr>
        <w:spacing w:before="40" w:after="40"/>
        <w:ind w:left="283"/>
      </w:pPr>
      <w:r>
        <w:rPr>
          <w:rFonts w:ascii="Calibri" w:hAnsi="Calibri"/>
          <w:b/>
          <w:color w:val="4A6B25"/>
          <w:sz w:val="20"/>
        </w:rPr>
        <w:t xml:space="preserve">3. </w:t>
      </w:r>
      <w:r>
        <w:rPr>
          <w:rFonts w:ascii="Calibri" w:hAnsi="Calibri"/>
          <w:b w:val="0"/>
          <w:color w:val="3A4A28"/>
          <w:sz w:val="20"/>
        </w:rPr>
        <w:t>Concentration risk in CREXONT and BREKIYA for specialty growth -- if either product underperforms peak sales expectations, the growth thesis weakens materially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Amneal's core business of manufacturing complex generic and specialty pharmaceuticals is well-insulated from AI disruption. Generic drug development requires deep expertise in reverse-engineering complex formulations, navigating the FDA's ANDA approval process, and operating physical manufacturing facilities that meet cGMP standards -- none of which AI can substitute [3]. The pharmaceutical supply chain involves chemical synthesis, quality control, sterile manufacturing, and physical distribution that require extensive capital investment and regulatory clearance. Barriers to entry remain high: the FDA approval process, manufacturing complexity, and regulatory inspections create structural moats. However, AI could potentially accelerate the development of competing generic formulations by faster reverse-engineering, modestly increasing competitive pressure over time. AI Opportunity (0/1): While Industry 4.0 technologies including IoT, AI, and big data are being adopted across pharmaceutical manufacturing for process optimization, Amneal has not yet demonstrated differentiated AI deployment that generates measurable competitive advantage.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Amneal Pharmaceuticals Q1 2026 Earnings Release -- GlobeNewsWire, May 7, 2026</w:t>
      </w:r>
    </w:p>
    <w:p>
      <w:pPr>
        <w:spacing w:before="20" w:after="20"/>
        <w:ind w:left="170"/>
      </w:pPr>
      <w:r>
        <w:rPr>
          <w:rFonts w:ascii="Calibri" w:hAnsi="Calibri"/>
          <w:b/>
          <w:color w:val="4A6B25"/>
          <w:sz w:val="15"/>
        </w:rPr>
        <w:t xml:space="preserve">2. </w:t>
      </w:r>
      <w:r>
        <w:rPr>
          <w:rFonts w:ascii="Calibri" w:hAnsi="Calibri"/>
          <w:b w:val="0"/>
          <w:color w:val="3A4A28"/>
          <w:sz w:val="17"/>
        </w:rPr>
        <w:t>Amneal Pharmaceuticals 'Amneal 2.0' Conference Presentation -- Yahoo Finance / Markets Daily, March 11, 2026</w:t>
      </w:r>
    </w:p>
    <w:p>
      <w:pPr>
        <w:spacing w:before="20" w:after="20"/>
        <w:ind w:left="170"/>
      </w:pPr>
      <w:r>
        <w:rPr>
          <w:rFonts w:ascii="Calibri" w:hAnsi="Calibri"/>
          <w:b/>
          <w:color w:val="4A6B25"/>
          <w:sz w:val="15"/>
        </w:rPr>
        <w:t xml:space="preserve">3. </w:t>
      </w:r>
      <w:r>
        <w:rPr>
          <w:rFonts w:ascii="Calibri" w:hAnsi="Calibri"/>
          <w:b w:val="0"/>
          <w:color w:val="3A4A28"/>
          <w:sz w:val="17"/>
        </w:rPr>
        <w:t>Amneal Pharmaceuticals Strategic Overview and Leadership -- SEC Filings,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AMRX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