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AMX</w:t>
      </w:r>
      <w:r>
        <w:rPr>
          <w:rFonts w:ascii="Calibri" w:hAnsi="Calibri"/>
          <w:b/>
          <w:color w:val="1A2010"/>
          <w:sz w:val="40"/>
        </w:rPr>
        <w:t xml:space="preserve">  América Móvil, S.A.B. de C.V.</w:t>
      </w:r>
    </w:p>
    <w:p>
      <w:pPr>
        <w:spacing w:after="120"/>
      </w:pPr>
      <w:r>
        <w:rPr>
          <w:rFonts w:ascii="Calibri" w:hAnsi="Calibri"/>
          <w:b/>
          <w:color w:val="6E8450"/>
          <w:sz w:val="18"/>
        </w:rPr>
        <w:t>DIVIDEND SLEEVE · 2026-07-12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Mexico</w:t>
      </w:r>
    </w:p>
    <w:p>
      <w:pPr>
        <w:spacing w:after="80"/>
      </w:pPr>
      <w:r>
        <w:rPr>
          <w:rFonts w:ascii="Calibri" w:hAnsi="Calibri"/>
          <w:b w:val="0"/>
          <w:color w:val="3A4A28"/>
          <w:sz w:val="20"/>
        </w:rPr>
        <w:t>América Móvil, S.A.B. de C.V. is the largest telecommunications company in Latin America, operating wireless, fixed-line, broadband, and pay-TV services across 25 countries in the Americas and Europe through brands including Telcel, Claro, and TracFone. Controlled by the Slim family, the company serves over 300 million wireless subscribers and is investing heavily in 5G and fiber broadband infrastructure. Founded in 2000, headquartered in Mexico City, Mexico.</w:t>
      </w:r>
    </w:p>
    <w:p>
      <w:r>
        <w:rPr>
          <w:rFonts w:ascii="Calibri" w:hAnsi="Calibri"/>
          <w:b/>
          <w:color w:val="6E8450"/>
          <w:sz w:val="18"/>
        </w:rPr>
        <w:t>177,545 Employees · https://www.americamovil.com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América Móvil has expanded into fiber broadband, 5G, and digital services across Latin America, but these represent evolutionary infrastructure investments rather than transformative product launches or business model pivots [1]. The company remains fundamentally a connectivity provider without a category-defining innovation in the past five years. AI Deployment (1/2): Chief Digital Intelligence Officer Andrés Vázquez leads AI adoption — using applied AI and automation to streamline operations, lower capital intensity, improve customer journeys, and enhance network optimization [3]. No AI products shipping to customers or specific AI revenue quantified. Market Share (2/2): Dominant telecom operator in Latin America with #1 positions across Mexico (Telcel), Brazil (Claro), Colombia, and numerous other markets. Over 300 million wireless subscribers and the region's largest fixed-line and broadband footprint [1][2]. Product Pipeline (1/2): $7.0 billion annual capital expenditure budget for 2026 focused on 5G rollout, fiber-to-the-home expansion, and network modernization across Latin America and Eastern Europe [1][2]. Significant investment activity but pipeline is infrastructure deployment rather than product innovation. R&amp;D Intensity (0/1): Telecom capex ($7B annually) is infrastructure investment rather than R&amp;D. No meaningful R&amp;D spend as a percentage of revenue relative to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América Móvil's purpose of connecting Latin America and bridging the digital divide is clear and socially relevant, providing telecommunications access across 25 countries including underserved markets. However, the mission statement is not deeply distinctive — every telecom claims to connect people [1]. Community Impact (1/2): The Slim family operates one of Latin America's largest charitable foundations (Fundación Carlos Slim), investing in education, health, and digital literacy programs across the region. While technically separate from AMX, the shared ownership aligns charitable impact with the company's connectivity mission [1]. Employee Retention (1/2): CEO Daniel Hajj Aboumrad has served since 2000 — a 26-year tenure that provides exceptional leadership continuity. The Slim family's controlling ownership creates stability but also a patriarchal decision-making structure that limits distributed leadership development [3]. Insider Buying (1/2): The Slim family maintains a controlling stake (approximately 50%), and the company authorized an additional MXN 10 billion in share buyback capacity (total MXN 21 billion available) in 2026, signaling confidence in the company's value [4]. This is institutional conviction rather than open-market insider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América Móvil's financial profile combines solid profitability with an attractive valuation: ROE of 20.5% exceeds the 15% target, and forward P/E of 13.74 is well below the 20 threshold [5]. Full year 2025 revenue grew 8.6% to Ps.943.6B, and Q1 2026 showed continued momentum with EBITDA margin expanding to 40% and net income rising 25% to MXN 23.4B [1][2]. The primary weakness is leverage — D/E of 173% reflects the capital-intensive telecom business model, though management is actively deleveraging toward a 1.3x net debt/EBITDA target. Profit margin of 8.78% is moderate for telecom, below the 20% target but consistent with industry norms. The dividend payout ratio of approximately 37% is conservative, with 20+ consecutive years of payment and a 2.14% yield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América Móvil under the Slim family's stewardship and Daniel Hajj's 26-year CEO tenure plays a genuinely long game — consistently investing billions in infrastructure across Latin America with a multi-decade time horizon. The company's commitment to connecting underserved populations in emerging markets reflects a cause beyond profit. However, the Slim family's patriarchal control structure, the company's sprawling conglomerate complexity, and the absence of transformative business model reinvention place it in Sinek's 'mixed' category rather than fully infinite.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América Móvil's purpose of connecting Latin America and bridging the digital divide has been pursued consistently for over 25 years, through multiple economic crises, currency devaluations, and political upheavals across the region [1]. The Slim family's multi-decade commitment to building telecommunications infrastructure in underserved markets — investing billions in capex annually when returns are uncertain — reflects a genuine cause beyond quarterly optimization. However, the purpose hasn't required the kind of transformative sacrifice Sinek demands for a top score; AMX has been very profitable throughout.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Daniel Hajj's 26-year tenure creates leadership stability, and the Slim family ownership enables long-term decision-making without quarterly activist pressure [3]. AMX's culture emphasizes 'excellence, productivity, and leadership' with 'continuous dialogue and collective construction of new ideas.' However, the controlling family ownership structure inherently centralizes decision-making, potentially limiting the distributed trust and psychological safety Sinek advocates. With 177,545 employees across 25 countries, organizational trust varies significantly by subsidiary and region.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América Móvil operates in highly competitive markets against formidable rivals (Telefónica, Millicom, Liberty Latin America, local operators) and consistently uses competitive pressure to improve its own network quality, pricing, and customer experience [1][2]. Management's language focuses on investment in network superiority and customer satisfaction rather than market share destruction. The $7B capex program is framed as building the best network, not crushing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América Móvil has evolved from a fixed-line spinoff of Telmex into the largest integrated telecom in Latin America — expanding from Mexico to 25 countries, transitioning from voice to data, and now investing in 5G and fiber broadband [1]. These are meaningful strategic evolutions. However, each step was an incremental extension of the core connectivity business rather than a transformative reinvention. AMX has never abandoned a profitable business line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América Móvil has demonstrated willingness to invest counter-cyclically — maintaining $7B annual capex commitments through currency crises, recessions, and pandemic disruptions across Latin America [1][2]. The Slim family's patient capital enables long-term investment horizons that most public company CEOs cannot match. However, the family's vast wealth means these 'courageous' bets carry less relative risk than they would for a smaller operator. The controlled ownership structure also insulates leadership from accountability pressures that test true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América Móvil delivered strong 2025 results with revenue up 8.6% to Ps.943.6B, net income of Ps.88.1B, and continued momentum in Q1 2026 with EBITDA margin expanding to 40% and net income rising 25% [1][2]. At a forward P/E of 13.74 with 20.5% ROE, AMX offers an attractive valuation for the dominant LatAm telecom franchise with 300M+ wireless subscribers across 25 countries. The 2.14% dividend yield, deleveraging trajectory toward 1.3x net debt/EBITDA, and MXN 21B share buyback authorization provide shareholder-friendly capital return. The $7B annual capex program positions AMX for 5G and fiber broadband growth as Latin American data consumption accelerates.</w:t>
      </w:r>
    </w:p>
    <w:p>
      <w:pPr>
        <w:spacing w:after="120"/>
      </w:pPr>
      <w:r>
        <w:rPr>
          <w:rFonts w:ascii="Calibri" w:hAnsi="Calibri"/>
          <w:b w:val="0"/>
          <w:color w:val="3A4A28"/>
          <w:sz w:val="20"/>
        </w:rPr>
        <w:t>The bear case centers on structural growth limitations and emerging market risk. Revenue growth of 2-4% CAGR in local currency terms reflects a maturing telecom market, and the 2% five-year USD revenue CAGR is dragged down by peso depreciation and competitive pricing pressure [5]. D/E of 173% reflects the capital intensity inherent in maintaining and upgrading infrastructure across 25 countries, many with currency and political instability. Profit margin of 8.78% is modest and vulnerable to inflationary cost pressures, regulatory mandates on pricing, and spectrum auction costs. The Slim family's controlling ownership introduces governance risk for minority shareholders — capital allocation decisions, related-party transactions, and strategic direction are concentrated in a single family. The 'Sexually Explicit' negative attribution from Inspire Insight relates to content distribution through AMX's media and broadband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5G rollout acceleration across Mexico, Brazil, and Colombia driving incremental data revenue and premium service pricing as smartphone penetration deepens</w:t>
      </w:r>
    </w:p>
    <w:p>
      <w:pPr>
        <w:spacing w:before="40" w:after="40"/>
        <w:ind w:left="283"/>
      </w:pPr>
      <w:r>
        <w:rPr>
          <w:rFonts w:ascii="Calibri" w:hAnsi="Calibri"/>
          <w:b/>
          <w:color w:val="4A6B25"/>
          <w:sz w:val="20"/>
        </w:rPr>
        <w:t xml:space="preserve">2. </w:t>
      </w:r>
      <w:r>
        <w:rPr>
          <w:rFonts w:ascii="Calibri" w:hAnsi="Calibri"/>
          <w:b w:val="0"/>
          <w:color w:val="3A4A28"/>
          <w:sz w:val="20"/>
        </w:rPr>
        <w:t>Continued EBITDA margin expansion toward 42%+ through network efficiency gains, AI-driven operational optimization, and fixed-cost leverage on growing data volumes</w:t>
      </w:r>
    </w:p>
    <w:p>
      <w:pPr>
        <w:spacing w:before="40" w:after="40"/>
        <w:ind w:left="283"/>
      </w:pPr>
      <w:r>
        <w:rPr>
          <w:rFonts w:ascii="Calibri" w:hAnsi="Calibri"/>
          <w:b/>
          <w:color w:val="4A6B25"/>
          <w:sz w:val="20"/>
        </w:rPr>
        <w:t xml:space="preserve">3. </w:t>
      </w:r>
      <w:r>
        <w:rPr>
          <w:rFonts w:ascii="Calibri" w:hAnsi="Calibri"/>
          <w:b w:val="0"/>
          <w:color w:val="3A4A28"/>
          <w:sz w:val="20"/>
        </w:rPr>
        <w:t>Deleveraging below 1.3x net debt/EBITDA combined with MXN 21 billion share buyback program creating a compelling total return story at 13.74x forward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Currency risk — Mexican peso and Brazilian real depreciation against the USD compresses AMX's dollar-denominated returns and ADR value, with limited natural hedging across the portfolio</w:t>
      </w:r>
    </w:p>
    <w:p>
      <w:pPr>
        <w:spacing w:before="40" w:after="40"/>
        <w:ind w:left="283"/>
      </w:pPr>
      <w:r>
        <w:rPr>
          <w:rFonts w:ascii="Calibri" w:hAnsi="Calibri"/>
          <w:b/>
          <w:color w:val="4A6B25"/>
          <w:sz w:val="20"/>
        </w:rPr>
        <w:t xml:space="preserve">2. </w:t>
      </w:r>
      <w:r>
        <w:rPr>
          <w:rFonts w:ascii="Calibri" w:hAnsi="Calibri"/>
          <w:b w:val="0"/>
          <w:color w:val="3A4A28"/>
          <w:sz w:val="20"/>
        </w:rPr>
        <w:t>Regulatory and political risk across 25 countries, including spectrum auction costs, price regulation, and antitrust enforcement that could constrain margins and growth</w:t>
      </w:r>
    </w:p>
    <w:p>
      <w:pPr>
        <w:spacing w:before="40" w:after="40"/>
        <w:ind w:left="283"/>
      </w:pPr>
      <w:r>
        <w:rPr>
          <w:rFonts w:ascii="Calibri" w:hAnsi="Calibri"/>
          <w:b/>
          <w:color w:val="4A6B25"/>
          <w:sz w:val="20"/>
        </w:rPr>
        <w:t xml:space="preserve">3. </w:t>
      </w:r>
      <w:r>
        <w:rPr>
          <w:rFonts w:ascii="Calibri" w:hAnsi="Calibri"/>
          <w:b w:val="0"/>
          <w:color w:val="3A4A28"/>
          <w:sz w:val="20"/>
        </w:rPr>
        <w:t>Slim family controlling ownership creates governance risk for minority ADR holders, with limited board independence and potential related-party transaction conflicts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América Móvil's core business — owning and operating physical telecommunications infrastructure (cell towers, fiber networks, spectrum licenses, data centers) across 25 countries — is structurally immune to AI disruption [1]. AI cannot replace physical network infrastructure; it requires it. The massive capital requirements ($7B annual capex), regulatory licenses, and decades of deployed infrastructure create insurmountable barriers. Furthermore, AI is a demand catalyst: generative AI applications, cloud computing, IoT, and autonomous vehicles all require increased bandwidth and network capacity, directly increasing demand for AMX's connectivity services [3]. The risk is limited to AI potentially commoditizing some value-added services (customer support chatbots, content recommendations) and enabling more efficient competitors. AI Opportunity (0/1): América Móvil uses AI internally for network optimization and customer service automation but does not generate quantifiable revenue from AI products or services sold to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América Móvil 2025 Annual Report (20-F Filing) — SEC, 2026</w:t>
      </w:r>
    </w:p>
    <w:p>
      <w:pPr>
        <w:spacing w:before="20" w:after="20"/>
        <w:ind w:left="170"/>
      </w:pPr>
      <w:r>
        <w:rPr>
          <w:rFonts w:ascii="Calibri" w:hAnsi="Calibri"/>
          <w:b/>
          <w:color w:val="4A6B25"/>
          <w:sz w:val="15"/>
        </w:rPr>
        <w:t xml:space="preserve">2. </w:t>
      </w:r>
      <w:r>
        <w:rPr>
          <w:rFonts w:ascii="Calibri" w:hAnsi="Calibri"/>
          <w:b w:val="0"/>
          <w:color w:val="3A4A28"/>
          <w:sz w:val="17"/>
        </w:rPr>
        <w:t>América Móvil Q1 2026 Earnings Release — SEC 6-K Filing, April 2026</w:t>
      </w:r>
    </w:p>
    <w:p>
      <w:pPr>
        <w:spacing w:before="20" w:after="20"/>
        <w:ind w:left="170"/>
      </w:pPr>
      <w:r>
        <w:rPr>
          <w:rFonts w:ascii="Calibri" w:hAnsi="Calibri"/>
          <w:b/>
          <w:color w:val="4A6B25"/>
          <w:sz w:val="15"/>
        </w:rPr>
        <w:t xml:space="preserve">3. </w:t>
      </w:r>
      <w:r>
        <w:rPr>
          <w:rFonts w:ascii="Calibri" w:hAnsi="Calibri"/>
          <w:b w:val="0"/>
          <w:color w:val="3A4A28"/>
          <w:sz w:val="17"/>
        </w:rPr>
        <w:t>Forbes — 'Inside Andrés Vázquez’s Vision For AI And Innovation At América Móvil,' November 2025</w:t>
      </w:r>
    </w:p>
    <w:p>
      <w:pPr>
        <w:spacing w:before="20" w:after="20"/>
        <w:ind w:left="170"/>
      </w:pPr>
      <w:r>
        <w:rPr>
          <w:rFonts w:ascii="Calibri" w:hAnsi="Calibri"/>
          <w:b/>
          <w:color w:val="4A6B25"/>
          <w:sz w:val="15"/>
        </w:rPr>
        <w:t xml:space="preserve">4. </w:t>
      </w:r>
      <w:r>
        <w:rPr>
          <w:rFonts w:ascii="Calibri" w:hAnsi="Calibri"/>
          <w:b w:val="0"/>
          <w:color w:val="3A4A28"/>
          <w:sz w:val="17"/>
        </w:rPr>
        <w:t>América Móvil Capital Allocation and Share Buyback Strategy, Investor Relations,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AMX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