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w:t>
      </w:r>
      <w:r>
        <w:rPr>
          <w:rFonts w:ascii="Calibri" w:hAnsi="Calibri"/>
          <w:b/>
          <w:color w:val="1A2010"/>
          <w:sz w:val="40"/>
        </w:rPr>
        <w:t xml:space="preserve">  Antero Midstream Corporation</w:t>
      </w:r>
    </w:p>
    <w:p>
      <w:pPr>
        <w:spacing w:after="120"/>
      </w:pPr>
      <w:r>
        <w:rPr>
          <w:rFonts w:ascii="Calibri" w:hAnsi="Calibri"/>
          <w:b/>
          <w:color w:val="6E8450"/>
          <w:sz w:val="18"/>
        </w:rPr>
        <w:t>DIVIDEND SLEEVE · 2026-07-10 · Inspire: 44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Antero Midstream Corporation owns, operates, and develops midstream energy infrastructure primarily in the Appalachian Basin. The company provides gathering, compression, processing, and water handling services for Antero Resources Corporation, its primary customer and parent company. Assets include approximately 570 miles of gathering pipelines, compressor stations, processing and fractionation plants, and water handling facilities in West Virginia and Ohio. Market cap approximately $10.7B.</w:t>
      </w:r>
    </w:p>
    <w:p>
      <w:r>
        <w:rPr>
          <w:rFonts w:ascii="Calibri" w:hAnsi="Calibri"/>
          <w:b/>
          <w:color w:val="6E8450"/>
          <w:sz w:val="18"/>
        </w:rPr>
        <w:t>632 Employees · https://www.anteromidstream.com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Completed its largest acquisition in company history in February 2026, expanding midstream capacity and service scope [1]. Organic growth through new well connections and compression capacity additions. However, the core business model of gathering and processing natural gas has remained fundamentally unchanged since inception. AI Deployment (0/2): No AI products deployed, no quantified AI-driven savings. A SWOT analysis noted a 'significant talent gap and lack of a formal AI strategy' as a major internal weakness [4]. Market Share (1/2): Dominant midstream services provider in the Appalachian Basin for its primary customer, Antero Resources. Strong positioning in one of the most productive natural gas basins in the US [1]. However, captive relationship with a single primary customer limits the competitive significance of this position. Product Pipeline (0/2): No next-generation products. Growth is tied to Antero Resources' drilling activity and organic capacity expansion. R&amp;D Intensity (0/1): Pipeline/midstream infrastructure company with no R&amp;D function.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Antero Midstream's communications focus on operational efficiency, capital returns, and shareholder value creation. The company lacks a distinctive purpose statement that connects its work to a larger societal vision beyond providing midstream services [3]. Community Impact (0/2): Standard corporate responsibility practices. No distinctive charitable foundation, community programs, or specific dollar amounts identified for community investment. Employee Retention (1/2): Small organization of 632 employees. Michael Kennedy was appointed CEO in August 2025 in an orderly transition from founder Paul Rady, who moved to Chairman Emeritus [4]. ESG metrics are tied to executive compensation, suggesting some organizational alignment. No specific turnover or tenure data available. Insider Buying (0/2): No evidence of meaningful net insider buying by leadership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stock on available metrics. Q1 2026 adjusted EBITDA grew 5% YoY to $288M on revenue of $314.2M, with adjusted free cash flow after dividends of $85M (up 8% YoY) [1]. Profit margin of 31.94% is well above the 20% target, and ROE of 20.41% exceeds the 15% target, reflecting efficient capital deployment in a toll-road-like business model [5]. Forward P/E of 19.56 is near the 20 target. However, D/E of 192% is elevated for midstream infrastructure (scoring 0.47), and the GAAP payout ratio of 104.71% exceeds 100% due to depreciation-heavy accounting (distributable cash flow comfortably covers the dividend) [5]. Revenue growth YoY of 8.34% and 5yr CAGR of approximately 7.3% are solid for a mature midstream company. Consecutive years paid of 7 and estimated 5yr dividend growth CAGR of approximately 10% reflect reliable income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Antero Midstream is a quintessential finite player. The company exists to provide midstream services to Antero Resources and return capital to shareholders — a clear, bounded purpose with no articulated vision of a future state worth sacrificing for. The business model has not evolved since inception, the competitive strategy is captive rather than rival-driven, and leadership communications focus on EBITDA growth and dividend coverage rather than purpose. The orderly CEO transition suggests organizational stability but not infinite game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Antero Midstream has no articulated Just Cause. The company's purpose is to gather, compress, process, and transport natural gas — a necessary economic function but not a vision of a future state that inspires sacrifice [3]. Earnings calls and investor presentations focus exclusively on EBITDA growth, free cash flow, dividend coverage, and acquisition synergies. There is no evidence that leadership frames the company's work in terms of a larger purpose beyond operational efficiency and capital returns.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632 employees, Antero Midstream operates as a relatively small, focused organization [5]. The August 2025 CEO transition from founder Paul Rady to Michael Kennedy was orderly, with Rady assuming Chairman Emeritus role, suggesting organizational stability [4]. ESG metrics are tied to executive compensation, indicating some alignment between leadership and organizational values. However, no specific employee satisfaction, turnover, or cultural data is available to assess trust depth.</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captive midstream provider primarily serving a single customer (Antero Resources), Antero Midstream operates in a limited competitive context. The company does not regularly reference competitors or demonstrate that it uses competitive dynamics as motivation for improvement. Competitive language, when present, focuses on operational metrics rather than learning from peers like MPLX, Western Midstream, or Crestwood.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Antero Midstream has not demonstrated any strategic flexibility or business model evolution since its formation. The company was created to provide midstream services to Antero Resources and continues to do exactly that. There have been no pivots, no entry into adjacent markets beyond the 2026 acquisition, and no evidence of willingness to fundamentally rethink the business model in response to industry shifts such as the energy transition.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completion of Antero Midstream's largest acquisition in company history in February 2026, ahead of schedule, represents a meaningful long-term capacity bet [1]. The company also maintained dividend growth through energy market volatility. However, these decisions are standard capital allocation for a midstream company rather than the kind of costly, conviction-driven choices that Sinek describes as courage — they are optimizing the existing business model, not choosing right over easy.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Antero Midstream offers a compelling income profile with a 4.00% dividend yield supported by a toll-road-like business model generating $288M adjusted EBITDA in Q1 2026 (up 5% YoY) and $85M adjusted free cash flow after dividends (up 8% YoY) [1]. Full-year 2026 guidance projects $1.19-$1.24B adjusted EBITDA (8% growth at midpoint), and the successful early completion of the company's largest acquisition expands capacity for long-term growth [1][2]. The Appalachian Basin's low-cost natural gas production and growing data center power demand provide a secular demand tailwind. ROE of 20.41% and profit margin of 31.94% reflect efficient infrastructure operations, and forward P/E of 19.56 offers reasonable valuation for a stable income generator.</w:t>
      </w:r>
    </w:p>
    <w:p>
      <w:pPr>
        <w:spacing w:after="120"/>
      </w:pPr>
      <w:r>
        <w:rPr>
          <w:rFonts w:ascii="Calibri" w:hAnsi="Calibri"/>
          <w:b w:val="0"/>
          <w:color w:val="3A4A28"/>
          <w:sz w:val="20"/>
        </w:rPr>
        <w:t>The bear case centers on Antero Midstream's structural limitations: customer concentration risk with Antero Resources as the primary customer, high D/E of 192% typical for midstream but limiting financial flexibility, and a GAAP payout ratio of 104.71% that technically exceeds earnings (though distributable cash flow covers the dividend) [5]. The energy transition poses a multi-decade secular risk to natural gas infrastructure, even as near-term demand from data centers and LNG exports provides a tailwind. EPS declined 1.15% YoY on a TTM basis despite revenue growth, suggesting margin pressure. The Altman Z-Score of 1.8 indicates elevated bankruptcy risk in formulaic terms, though this metric is poorly calibrated for capital-intensive midstream businesses. The company's lack of diversification beyond Antero Resources and the Appalachian Basin creates geographic and customer concentration that amplifies any downturn in natural gas activity.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integration of the largest acquisition in company history (completed February 2026) expanding midstream capacity and service scope, with synergies expected to drive EBITDA above the $1.19-1.24B guidance range</w:t>
      </w:r>
    </w:p>
    <w:p>
      <w:pPr>
        <w:spacing w:before="40" w:after="40"/>
        <w:ind w:left="283"/>
      </w:pPr>
      <w:r>
        <w:rPr>
          <w:rFonts w:ascii="Calibri" w:hAnsi="Calibri"/>
          <w:b/>
          <w:color w:val="4A6B25"/>
          <w:sz w:val="20"/>
        </w:rPr>
        <w:t xml:space="preserve">2. </w:t>
      </w:r>
      <w:r>
        <w:rPr>
          <w:rFonts w:ascii="Calibri" w:hAnsi="Calibri"/>
          <w:b w:val="0"/>
          <w:color w:val="3A4A28"/>
          <w:sz w:val="20"/>
        </w:rPr>
        <w:t>Growing natural gas demand from AI-powered data center construction providing a secular tailwind for Appalachian Basin production volumes and midstream throughput</w:t>
      </w:r>
    </w:p>
    <w:p>
      <w:pPr>
        <w:spacing w:before="40" w:after="40"/>
        <w:ind w:left="283"/>
      </w:pPr>
      <w:r>
        <w:rPr>
          <w:rFonts w:ascii="Calibri" w:hAnsi="Calibri"/>
          <w:b/>
          <w:color w:val="4A6B25"/>
          <w:sz w:val="20"/>
        </w:rPr>
        <w:t xml:space="preserve">3. </w:t>
      </w:r>
      <w:r>
        <w:rPr>
          <w:rFonts w:ascii="Calibri" w:hAnsi="Calibri"/>
          <w:b w:val="0"/>
          <w:color w:val="3A4A28"/>
          <w:sz w:val="20"/>
        </w:rPr>
        <w:t>Continued dividend growth trajectory (estimated 10% 5yr CAGR) supported by high single-digit EBITDA growth guidance and improving free cash flow after dividends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Customer concentration risk — Antero Resources is the primary customer, meaning any reduction in Antero Resources' drilling activity or financial distress would directly impact Antero Midstream's throughput volumes and revenue</w:t>
      </w:r>
    </w:p>
    <w:p>
      <w:pPr>
        <w:spacing w:before="40" w:after="40"/>
        <w:ind w:left="283"/>
      </w:pPr>
      <w:r>
        <w:rPr>
          <w:rFonts w:ascii="Calibri" w:hAnsi="Calibri"/>
          <w:b/>
          <w:color w:val="4A6B25"/>
          <w:sz w:val="20"/>
        </w:rPr>
        <w:t xml:space="preserve">2. </w:t>
      </w:r>
      <w:r>
        <w:rPr>
          <w:rFonts w:ascii="Calibri" w:hAnsi="Calibri"/>
          <w:b w:val="0"/>
          <w:color w:val="3A4A28"/>
          <w:sz w:val="20"/>
        </w:rPr>
        <w:t>D/E of 192% and Altman Z-Score of 1.8 indicate elevated financial leverage, which could constrain capital allocation flexibility if natural gas prices decline or if interest rates remain elevated</w:t>
      </w:r>
    </w:p>
    <w:p>
      <w:pPr>
        <w:spacing w:before="40" w:after="40"/>
        <w:ind w:left="283"/>
      </w:pPr>
      <w:r>
        <w:rPr>
          <w:rFonts w:ascii="Calibri" w:hAnsi="Calibri"/>
          <w:b/>
          <w:color w:val="4A6B25"/>
          <w:sz w:val="20"/>
        </w:rPr>
        <w:t xml:space="preserve">3. </w:t>
      </w:r>
      <w:r>
        <w:rPr>
          <w:rFonts w:ascii="Calibri" w:hAnsi="Calibri"/>
          <w:b w:val="0"/>
          <w:color w:val="3A4A28"/>
          <w:sz w:val="20"/>
        </w:rPr>
        <w:t>Long-term energy transition risk — secular shift away from fossil fuels could reduce natural gas demand beyond 2035, potentially stranding midstream infrastructure assets with decades-long useful lives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Midstream pipeline infrastructure is among the most AI-immune businesses in existence. Physical gathering pipelines, compressor stations, processing plants, and water handling facilities cannot be replicated or substituted by artificial intelligence [3]. These assets require decades of capital investment, regulatory permitting (FERC, state-level), and right-of-way access that create permanent structural moats against any technology disruption. Natural gas processing and transportation are essential functions in the energy value chain regardless of AI advancement. AI may increase natural gas demand through data center power needs, making midstream infrastructure more valuable, not less. AI Opportunity (0/1): No AI-related revenue. The company's high-quality operational data could support future AI-driven predictive maintenance, but no AI products or services are currently generating revenue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Antero Midstream Q1 2026 Financial and Operating Results — Press Release, April 2026</w:t>
      </w:r>
    </w:p>
    <w:p>
      <w:pPr>
        <w:spacing w:before="20" w:after="20"/>
        <w:ind w:left="170"/>
      </w:pPr>
      <w:r>
        <w:rPr>
          <w:rFonts w:ascii="Calibri" w:hAnsi="Calibri"/>
          <w:b/>
          <w:color w:val="4A6B25"/>
          <w:sz w:val="15"/>
        </w:rPr>
        <w:t xml:space="preserve">2. </w:t>
      </w:r>
      <w:r>
        <w:rPr>
          <w:rFonts w:ascii="Calibri" w:hAnsi="Calibri"/>
          <w:b w:val="0"/>
          <w:color w:val="3A4A28"/>
          <w:sz w:val="17"/>
        </w:rPr>
        <w:t>Antero Midstream Q4 2025 Results and Full Year 2026 Guidance — Press Release, February 2026</w:t>
      </w:r>
    </w:p>
    <w:p>
      <w:pPr>
        <w:spacing w:before="20" w:after="20"/>
        <w:ind w:left="170"/>
      </w:pPr>
      <w:r>
        <w:rPr>
          <w:rFonts w:ascii="Calibri" w:hAnsi="Calibri"/>
          <w:b/>
          <w:color w:val="4A6B25"/>
          <w:sz w:val="15"/>
        </w:rPr>
        <w:t xml:space="preserve">3. </w:t>
      </w:r>
      <w:r>
        <w:rPr>
          <w:rFonts w:ascii="Calibri" w:hAnsi="Calibri"/>
          <w:b w:val="0"/>
          <w:color w:val="3A4A28"/>
          <w:sz w:val="17"/>
        </w:rPr>
        <w:t>Antero Midstream ESG Report, Governance Information, and Company Website — anteromidstream.com,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Simply Wall St and TipRanks — AM Leadership Analysis and SWOT Assessment,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 Analysis — AM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