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ANNX</w:t>
      </w:r>
      <w:r>
        <w:rPr>
          <w:rFonts w:ascii="Calibri" w:hAnsi="Calibri"/>
          <w:b/>
          <w:color w:val="1A2010"/>
          <w:sz w:val="40"/>
        </w:rPr>
        <w:t xml:space="preserve">  Annexon, Inc.</w:t>
      </w:r>
    </w:p>
    <w:p>
      <w:pPr>
        <w:spacing w:after="120"/>
      </w:pPr>
      <w:r>
        <w:rPr>
          <w:rFonts w:ascii="Calibri" w:hAnsi="Calibri"/>
          <w:b/>
          <w:color w:val="6E8450"/>
          <w:sz w:val="18"/>
        </w:rPr>
        <w:t>GROWTH SLEEVE · 2026-07-10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Annexon, Inc. is a clinical-stage biopharmaceutical company developing a pipeline of novel therapies targeting classical complement-mediated disorders of the body, brain, and eye. The only company solely focused on targeting C1q, Annexon's pipeline spans three therapeutic areas: autoimmunity (Guillain-Barre syndrome), neurodegeneration (Huntington's disease, ALS), and ophthalmology (geographic atrophy/dry AMD). Lead candidate tanruprubart has an MAA filed for GBS with BLA submission planned in 2026. Cash position of $225M funds operations into H2 2027. Market cap approximately $920M.</w:t>
      </w:r>
    </w:p>
    <w:p>
      <w:r>
        <w:rPr>
          <w:rFonts w:ascii="Calibri" w:hAnsi="Calibri"/>
          <w:b/>
          <w:color w:val="6E8450"/>
          <w:sz w:val="18"/>
        </w:rPr>
        <w:t>110 Employees · https://annexonbio.com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Annexon has advanced multiple clinical programs with significant milestones: tanruprubart MAA filed with EMA for Guillain-Barre syndrome (potential first targeted fast-acting therapy), BLA submission with US/European data planned in 2026, and vonaprument pivotal Phase 3 data for dry AMD with geographic atrophy on track for H2 2026 [1]. For a 110-person company, executing across three therapeutic areas simultaneously represents strong clinical execution. AI Deployment (0/2): No evidence of AI-powered drug discovery tools, AI products, or quantified AI-driven operational improvements. Drug development is conducted through traditional wet lab and clinical trial approaches. Market Share (1/2): Annexon is the only company solely focused on targeting C1q to develop therapeutics for complement-mediated diseases, creating a differentiated niche in a growing complement pathway market [2]. However, the company has no approved products and therefore no actual market share in any therapeutic category. Product Pipeline (2/2): Robust three-pillar pipeline with clear 2026 milestones: GBS therapy BLA submission, GA Phase 3 topline data in H2 2026, ANX1502 (first oral C1 inhibitor for autoimmune disease) proof-of-concept data in 2026, and an unprecedented vision protection effect being evaluated [1][2]. R&amp;D Intensity (1/1): R&amp;D spending of $172M annually for a company with zero revenue represents essentially 100% R&amp;D focus, the highest possible intensity by any measure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Annexon's purpose of 'developing medicines for people living with serious neuroinflammatory diseases' is clear, patient-focused, and specific to complement biology [2]. The company's exclusive focus on C1q targeting demonstrates genuine commitment to a differentiated scientific approach. However, the mission is functionally similar to many other clinical-stage biotechs and has not yet been validated by commercial execution or multi-decade consistency. Community Impact (0/2): As a 110-person clinical-stage company burning $183M annually, Annexon has limited resources for community investment. No charitable foundation, distinctive community programs, or specific philanthropic efforts were identified. Employee Retention (1/2): CEO Douglas Love describes the culture as 'open and direct, but very respectful' with 'a casual intensity where we seek to have fun while driving game-changing outcomes' [3]. The emphasis on diversity, equity, inclusion, and belonging for a small biotech team suggests genuine cultural identity. No specific turnover or tenure data available. Insider Buying (0/2): No evidence of meaningful net insider buying by CEO Douglas Love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As a pre-revenue clinical-stage biotech, most financial metrics are inherently weak: ROE of -87.65% (reflecting $198M net loss on a small equity base), no revenue (making revenue growth metrics inapplicable), no profit margin, and no meaningful P/E or PEG ratio [4]. The sole bright spot is D/E of 12%, reflecting a conservative balance sheet with $225M cash against only $25.4M total debt, scoring full marks on leverage [4]. Net cash position of $199.6M funds operations into H2 2027. The infrastructure weakness is structural to the clinical-stage biotech business model — these companies are pre-revenue by definition and the value lies in pipeline optionality rather than current financial performance. Only D/E and ROE were available for scoring; all other metrics were excluded as unavailable.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Annexon operates with genuine purpose — the exclusive focus on C1q-mediated diseases reflects conviction in a differentiated scientific approach that has been maintained through the challenges of clinical-stage development. The small, collaborative culture and patient-focused language suggest infinite game thinking at the leadership level. However, the company is too young and small to have demonstrated existential flexibility or had its Just Cause tested through crisis. Clinical-stage biotechs inherently play a long game (drugs take 10-15 years to develop), but whether the purpose survives commercialization pressure remains untested.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Annexon's focus on developing treatments for people with serious complement-mediated diseases — including GBS (an acute paralysis disorder), geographic atrophy (progressive vision loss), and neurodegenerative diseases like Huntington's and ALS — connects the company's work to reducing human suffering [2]. The exclusive focus on C1q targeting, maintained despite the appeal of diversifying into more commercially obvious targets, suggests genuine scientific conviction. However, the company has not yet been tested through commercial success, leadership transitions, or major crises, and the Just Cause has not been validated by decades of consistent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Douglas Love describes a culture of 'casual intensity' with open, direct, and respectful communication [3]. For a small organization (~110 employees), the emphasis on DEIB and the collaborative leadership structure (with dedicated Chief Innovation Officer and Chief Scientific Officer) suggest adequate trust. Glassdoor data is limited by the small company size, but Comparably ratings indicate a positive cultural environment. Leadership continuity since the company's founding provides organizational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Annexon competes in the complement pathway space alongside Apellis Pharmaceuticals (approved Syfovre for GA) and AstraZeneca/Alexion (C5 inhibitors). The company's competitive positioning focuses on differentiation through C1q targeting — blocking the classical complement pathway at its initiation point rather than downstream — rather than on defeating competitors [2]. This approach reflects an improvement-oriented mindset: Annexon acknowledges that competitors have validated the complement space while arguing that their upstream approach offers superior biology.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Annexon is too young and focused to have demonstrated transformative strategic flexibility. The company has maintained its exclusive focus on C1q targeting since inception, expanding across therapeutic areas (autoimmunity, neurodegeneration, ophthalmology) but never fundamentally pivoting its scientific platform or business model [2]. The single-platform approach is a strength for scientific depth but means the company has not yet faced the test of needing to abandon a core business in service of its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Annexon maintains heavy R&amp;D investment ($172M annually, $183M negative FCF) in pursuit of its complement biology thesis despite generating zero revenue [4]. The company has stayed focused on C1q targeting when diversifying into more commercially obvious targets would have been easier and potentially more attractive to investors. However, this is fundamentally the business model of every clinical-stage biotech — cash burn in pursuit of drug approval — rather than the kind of costly strategic choice against organizational inertia that Sinek describes as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Annexon offers high-risk, high-reward exposure to complement biology drug development, with multiple de-risking catalysts in 2026: tanruprubart BLA submission for GBS (potential first targeted fast-acting therapy), vonaprument Phase 3 topline data for dry AMD/geographic atrophy in H2 2026, and ANX1502 oral C1 inhibitor proof-of-concept data [1][2]. The company's exclusive focus on C1q gives it first-mover advantage in an underexplored area of complement biology, and GBS alone represents a market with no targeted therapies currently approved. Analyst consensus is 'Strong Buy' with an average price target of $13.13 (134% upside from $5.62), and the $225M cash position funds operations into H2 2027, providing runway to reach key data readouts [4]. At $920M market cap, success in any one program could drive significant re-rating.</w:t>
      </w:r>
    </w:p>
    <w:p>
      <w:pPr>
        <w:spacing w:after="120"/>
      </w:pPr>
      <w:r>
        <w:rPr>
          <w:rFonts w:ascii="Calibri" w:hAnsi="Calibri"/>
          <w:b w:val="0"/>
          <w:color w:val="3A4A28"/>
          <w:sz w:val="20"/>
        </w:rPr>
        <w:t>The bear case is the fundamental risk profile of a pre-revenue, clinical-stage biotech. Annexon burns $183M annually with zero revenue, and the $225M cash position provides only 14-15 months of runway into H2 2027, after which additional dilutive capital raises will be necessary [4]. ROE of -87.65% and EPS of -$1.19 reflect the pre-revenue reality. Phase 3 clinical trials carry meaningful failure risk — negative data in either the GBS BLA submission or the GA Phase 3 readout could devastate the stock price. The complement pathway is increasingly competitive, with Apellis' Syfovre already approved for GA and larger pharma companies entering the space. At only 110 employees, Annexon faces execution risk in managing three simultaneous clinical programs across different therapeutic areas, and any departure of key scientific leadership (Ted Yednock, Larry Mattheakis) could disrupt the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Tanruprubart BLA submission with US/European data in 2026 for Guillain-Barre syndrome — potential first targeted fast-acting therapy for an acute paralysis disorder with no current targeted treatments</w:t>
      </w:r>
    </w:p>
    <w:p>
      <w:pPr>
        <w:spacing w:before="40" w:after="40"/>
        <w:ind w:left="283"/>
      </w:pPr>
      <w:r>
        <w:rPr>
          <w:rFonts w:ascii="Calibri" w:hAnsi="Calibri"/>
          <w:b/>
          <w:color w:val="4A6B25"/>
          <w:sz w:val="20"/>
        </w:rPr>
        <w:t xml:space="preserve">2. </w:t>
      </w:r>
      <w:r>
        <w:rPr>
          <w:rFonts w:ascii="Calibri" w:hAnsi="Calibri"/>
          <w:b w:val="0"/>
          <w:color w:val="3A4A28"/>
          <w:sz w:val="20"/>
        </w:rPr>
        <w:t>Vonaprument pivotal Phase 3 topline data for dry AMD with geographic atrophy expected H2 2026, targeting a multi-billion dollar market where Annexon's C1q approach could differentiate against Apellis' C3 inhibitor Syfovre</w:t>
      </w:r>
    </w:p>
    <w:p>
      <w:pPr>
        <w:spacing w:before="40" w:after="40"/>
        <w:ind w:left="283"/>
      </w:pPr>
      <w:r>
        <w:rPr>
          <w:rFonts w:ascii="Calibri" w:hAnsi="Calibri"/>
          <w:b/>
          <w:color w:val="4A6B25"/>
          <w:sz w:val="20"/>
        </w:rPr>
        <w:t xml:space="preserve">3. </w:t>
      </w:r>
      <w:r>
        <w:rPr>
          <w:rFonts w:ascii="Calibri" w:hAnsi="Calibri"/>
          <w:b w:val="0"/>
          <w:color w:val="3A4A28"/>
          <w:sz w:val="20"/>
        </w:rPr>
        <w:t>ANX1502 proof-of-concept data in 2026 for the first oral C1 inhibitor for autoimmune disease, which could open an entirely new treatment modality if successful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burning $183M annually with only $225M cash — runway into H2 2027 means additional dilutive capital raises are virtually certain regardless of clinical outcomes</w:t>
      </w:r>
    </w:p>
    <w:p>
      <w:pPr>
        <w:spacing w:before="40" w:after="40"/>
        <w:ind w:left="283"/>
      </w:pPr>
      <w:r>
        <w:rPr>
          <w:rFonts w:ascii="Calibri" w:hAnsi="Calibri"/>
          <w:b/>
          <w:color w:val="4A6B25"/>
          <w:sz w:val="20"/>
        </w:rPr>
        <w:t xml:space="preserve">2. </w:t>
      </w:r>
      <w:r>
        <w:rPr>
          <w:rFonts w:ascii="Calibri" w:hAnsi="Calibri"/>
          <w:b w:val="0"/>
          <w:color w:val="3A4A28"/>
          <w:sz w:val="20"/>
        </w:rPr>
        <w:t>Phase 3 clinical trial failure risk in either GBS BLA or GA Phase 3 readout could result in catastrophic stock price decline — complement biology has a mixed clinical track record and negative data is always possible</w:t>
      </w:r>
    </w:p>
    <w:p>
      <w:pPr>
        <w:spacing w:before="40" w:after="40"/>
        <w:ind w:left="283"/>
      </w:pPr>
      <w:r>
        <w:rPr>
          <w:rFonts w:ascii="Calibri" w:hAnsi="Calibri"/>
          <w:b/>
          <w:color w:val="4A6B25"/>
          <w:sz w:val="20"/>
        </w:rPr>
        <w:t xml:space="preserve">3. </w:t>
      </w:r>
      <w:r>
        <w:rPr>
          <w:rFonts w:ascii="Calibri" w:hAnsi="Calibri"/>
          <w:b w:val="0"/>
          <w:color w:val="3A4A28"/>
          <w:sz w:val="20"/>
        </w:rPr>
        <w:t>Execution risk from managing three simultaneous clinical programs (autoimmunity, ophthalmology, neurodegeneration) across different therapeutic areas with only 110 employees and limited commercial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Clinical-stage drug development for neurological and autoimmune diseases requires physical wet lab research, multi-year clinical trials with actual patients, FDA/EMA regulatory approval processes, and complex biologics manufacturing — all structurally immune to AI substitution [2]. Complement biology is a specialized scientific domain where institutional knowledge, proprietary antibody engineering, and clinical trial expertise create deep moats. The regulatory pathway for biologic drugs (BLA/MAA filings) requires physical evidence from human clinical trials that cannot be replaced by computational methods. AI could theoretically accelerate competitor drug discovery timelines, but the specific C1q targeting approach and clinical data are proprietary advantages that AI cannot replicate. AI Opportunity (0/1): Annexon generates no revenue from AI-related products or services. The company's focus is on traditional biological drug development, and no AI deployment in drug discovery or operations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Annexon Biosciences Q1 2026 Financial Results and Pipeline Update — SEC 8-K Filing, May 2026</w:t>
      </w:r>
    </w:p>
    <w:p>
      <w:pPr>
        <w:spacing w:before="20" w:after="20"/>
        <w:ind w:left="170"/>
      </w:pPr>
      <w:r>
        <w:rPr>
          <w:rFonts w:ascii="Calibri" w:hAnsi="Calibri"/>
          <w:b/>
          <w:color w:val="4A6B25"/>
          <w:sz w:val="15"/>
        </w:rPr>
        <w:t xml:space="preserve">2. </w:t>
      </w:r>
      <w:r>
        <w:rPr>
          <w:rFonts w:ascii="Calibri" w:hAnsi="Calibri"/>
          <w:b w:val="0"/>
          <w:color w:val="3A4A28"/>
          <w:sz w:val="17"/>
        </w:rPr>
        <w:t>Annexon Biosciences Pipeline, Clinical Programs, and Scientific Approach — annexonbio.com,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Annexon Company Culture, Leadership Team, and CEO Commentary — annexonbio.com, Comparably,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TipRanks / Stock Analysis — ANNX Key Statistics, Analyst Ratings,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ANNX Company Profile, Quote,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