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APA</w:t>
      </w:r>
      <w:r>
        <w:rPr>
          <w:rFonts w:ascii="Calibri" w:hAnsi="Calibri"/>
          <w:b/>
          <w:color w:val="1A2010"/>
          <w:sz w:val="40"/>
        </w:rPr>
        <w:t xml:space="preserve">  APA Corporation</w:t>
      </w:r>
    </w:p>
    <w:p>
      <w:pPr>
        <w:spacing w:after="120"/>
      </w:pPr>
      <w:r>
        <w:rPr>
          <w:rFonts w:ascii="Calibri" w:hAnsi="Calibri"/>
          <w:b/>
          <w:color w:val="6E8450"/>
          <w:sz w:val="18"/>
        </w:rPr>
        <w:t>DIVIDEND SLEEVE · 2026-08-21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APA Corporation is an independent energy company that explores for, develops, and produces natural gas, crude oil, and natural gas liquids. The company operates in the United States (Permian Basin), Egypt, and the North Sea, with exploration activities in Suriname. APA completed its Callon Petroleum acquisition in 2024 and is on track for $450M in cumulative run-rate cost savings by year-end 2026. Q1 2026 delivered adjusted EPS of $1.38 (beating $1.08 consensus by 28%), production of 442,000 BOE/day, and FCF of $477M. Founded in 1954, dividends paid since 1965.</w:t>
      </w:r>
    </w:p>
    <w:p>
      <w:r>
        <w:rPr>
          <w:rFonts w:ascii="Calibri" w:hAnsi="Calibri"/>
          <w:b/>
          <w:color w:val="6E8450"/>
          <w:sz w:val="18"/>
        </w:rPr>
        <w:t>1,791 Employees · https://www.apacorp.com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APA completed the transformative Callon Petroleum acquisition in 2024, expanding its Permian Basin footprint, and is now on track for $450M in cumulative run-rate cost savings by year-end 2026 — ahead of initial targets [1]. U.S. oil production in Q1 2026 of 124,000 bopd exceeded guidance from continued drilling efficiency gains, and the company raised its full-year U.S. oil production outlook to 122,000 bpd. However, total revenue declined 12.5% YoY (TTM) reflecting commodity price weakness rather than operational deterioration [2]. AI Deployment (0/2): APA's multi-year partnership with Palantir integrates AI into supply chain management, production optimization, and predictive maintenance [3], but this is operational cost-saving, not an AI product generating customer revenue. Market Share (1/2): APA is a meaningful Permian Basin operator and significant producer in Egypt with 442,000 BOE/day total production in Q1 2026, but is not a category leader in any basin — production scale trails ConocoPhillips, EOG, and Pioneer [1]. Product Pipeline (0/2): The Suriname GranMorgu development with TotalEnergies offers exploration upside, but no specific major development FID or timeline with revenue visibility has been announced. R&amp;D Intensity (1/1): The $2.1B 2026 capital program and Palantir AI deployment position APA at or above peer levels for E&amp;P operational technology investment [1][3].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APA's stated purpose focuses on helping fulfill global energy needs while creating value for all stakeholders — a generic energy industry mission interchangeable with any E&amp;P peer [2]. CFO Ben Rodgers' statement 'we did not stop exploring for oil and gas, and we will not stop' articulates conviction but not a distinctive cause beyond resource extraction. Community Impact (1/2): APA links 20% of executive compensation to ESG goals including safety and emissions, achieved lowest-ever safety incident rates, and is targeting a 50% reduction in methane intensity by 2026 vs. 2021 baseline [4]. However, the DOJ/EPA enforcement action for Clean Air Act violations at 422 well pads ($4M penalty plus $5.5M remediation) undermines the environmental commitment narrative [4]. Employee Retention (2/2): CEO Christmann has led APA since 2015 (11+ year tenure with 27+ years at the company), demonstrating exceptional leadership stability [2]. New CFO Ben Rodgers appointed May 2025 shows orderly succession. The lean team of 1,791 employees generating $2.3B quarterly revenue reflects high productivity and employee empowerment in a flat, efficient organization. Insider Buying (1/2): Director Juliet S. Ellis invested $100,026 in 4,391 shares at $22.78 in December 2025, a meaningful personal commitment at the stock's low point [5]. This is genuine insider buying at a moment of company distress, though a single director transaction limits the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APA demonstrates deep value at 10.12x forward earnings with clean leverage (D/E 70%, exactly at target), strong profitability (ROE 26.22%, profit margin 18.31%), and a conservative 21.2% dividend payout ratio [2][5]. However, revenue is the primary weakness: TTM revenue of $8.57B declined 12.5% YoY, driven by lower commodity prices despite rising production volumes [1]. The 5-year revenue CAGR of ~3% reflects the cyclical nature of E&amp;P where commodity price swings dominate growth metrics. Dividend profile is mixed: the 2.26% yield is at the lower end for E&amp;P, the $1.00 annual dividend has been flat for 3+ years after being cut from $1.00 to $0.10 during COVID and rebuilt, and the 5yr dividend growth CAGR compared against pre-cut levels is 0% [5]. The 23+ years of consecutive payment history (never fully suspended, even during COVID at $0.025/quarter) and conservative payout ratio provide stability. Liquidity: $44.10 x 923,457 = $40.7M daily volume, well above $1M minimum.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APA under CEO Christmann demonstrates some long-term thinking — 11+ year CEO tenure, commitment to exploration bets like Suriname, and elimination of routine flaring. However, the company's stated purpose ('building shareholder value'), focus on returning cash to shareholders, and unwavering commitment to hydrocarbon extraction ('we will not stop') without diversification toward energy transition technologies reflect a predominantly finite game mindset. The aggressive officer count reduction (by one-third) prioritizes cost efficiency over organizational trust. APA plays to optimize this quarter's returns, not to build an energy company that endures through the transition era.</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APA's purpose centers on fulfilling global energy needs while creating shareholder value — an industry-wide talking point rather than a distinctive Just Cause [2]. CFO Rodgers' statement 'we did not stop exploring for oil and gas, and we will not stop' articulates conviction about hydrocarbons' future but does not describe a vision of a better future state. Strategic decisions are driven by capital allocation optimization and shareholder returns, not by advancing a cause that inspires sacrifice. The mission is interchangeable with any E&amp;P peer.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APA's lean 1,791-employee workforce and CEO Christmann's 27-year tenure at the company provide leadership stability [2]. The company achieved lowest-ever safety incident rates, suggesting genuine investment in worker welfare. However, the officer count reduction by one-third in 2025 restructuring creates organizational fear and uncertainty inconsistent with Sinek's Circle of Safety [2]. Mixed Glassdoor sentiment, with some reviews citing cultural concerns, limits confidence in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APA frames competition in traditional E&amp;P terms — capital efficiency, cost per BOE, and production growth versus peers [1]. The focus on becoming 'the lowest cost operator' is about outperforming competitors on returns rather than learning from their strengths. The Suriname partnership with TotalEnergies shows collaboration willingness, but no evidence of management explicitly acknowledging worthy rivals'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APA has diversified from domestic U.S. E&amp;P to international operations including Egypt gas and frontier exploration in Suriname [1]. The Callon acquisition expanded the Permian footprint and the $450M cost savings target demonstrates operational transformation. However, the core business model — finding and producing hydrocarbons — has not fundamentally changed, and APA has made no moves toward renewables, carbon capture, or alternative energy. The CFO's 'we will not stop' stance on oil &amp; gas is existential rigidity dressed as conviction.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APA committed ~$230M to Suriname GranMorgu exploration with uncertain returns and is pursuing $450M in cost savings through aggressive organizational restructuring [1]. Q1 2026 free cash flow of $477M (nearly 4x Q1 2025's $126M) while maintaining the dividend demonstrates disciplined execution under commodity price pressure. However, the 2020 dividend cut (from $1.00 to $0.10) was a pragmatic retreat rather than a courageous choice, and the officer count reduction prioritizes financial optimization over organizational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APA delivered Q1 2026 adjusted EPS of $1.38, beating the $1.08 consensus by 28%, with production of 442,000 BOE/day exceeding guidance and free cash flow of $477M — nearly 4x the prior year [1]. At 10.12x forward earnings with a 2.26% dividend yield, APA offers deep value in E&amp;P with a clean balance sheet (D/E 70%) and strong profitability (ROE 26.22%, profit margin 18.31%) [2][5]. The Callon integration is delivering — $450M in cumulative cost savings targeted by year-end 2026 — and the raised U.S. oil production outlook to 122,000 bpd reflects Permian Basin efficiency gains. Egypt operations provide international diversification, and the Suriname GranMorgu development with TotalEnergies offers exploration optionality. The Palantir AI partnership is generating measurable operational savings [3]. The Inspire Impact Score of 36 (ALIGNED) supports faith-based allocation.</w:t>
      </w:r>
    </w:p>
    <w:p>
      <w:pPr>
        <w:spacing w:after="120"/>
      </w:pPr>
      <w:r>
        <w:rPr>
          <w:rFonts w:ascii="Calibri" w:hAnsi="Calibri"/>
          <w:b w:val="0"/>
          <w:color w:val="3A4A28"/>
          <w:sz w:val="20"/>
        </w:rPr>
        <w:t>The bear case centers on commodity price vulnerability and structural growth challenges. Revenue declined 12.5% YoY (TTM) as oil prices weakened, and the 5-year revenue CAGR of ~3% reflects the cyclical reality where commodity swings dominate organic growth [1][2]. The stock's 120%+ recovery from its 52-week low of $19.96 to $44.10 may have priced in the operational improvements, leaving limited near-term upside unless oil prices rise. The DOJ/EPA enforcement action for Clean Air Act violations at 422 well pads ($4M penalty plus $5.5M remediation) creates ongoing regulatory risk [4]. The 2020 dividend cut from $1.00 to $0.10 (now restored but flat for 3+ years) eliminated dividend growth credibility — the 0% 5yr CAGR vs. pre-cut levels reflects a company that merely restored what it took away. APA's explicit refusal to diversify beyond hydrocarbons ('we will not stop') leaves it exposed to long-term energy transition risk without a strategic hedge. Innovation scores just 4/10 because E&amp;P companies inherently produce a commodity with no product differentiation, and APA's Infinite Game score of 4/10 reflects a finite mindset focused on quarterly capital allocation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Suriname GranMorgu development progress with TotalEnergies — a positive FID or successful appraisal could unlock a world-class offshore resource and materially rerate the stock from its current deep-value multiple [1]</w:t>
      </w:r>
    </w:p>
    <w:p>
      <w:pPr>
        <w:spacing w:before="40" w:after="40"/>
        <w:ind w:left="283"/>
      </w:pPr>
      <w:r>
        <w:rPr>
          <w:rFonts w:ascii="Calibri" w:hAnsi="Calibri"/>
          <w:b/>
          <w:color w:val="4A6B25"/>
          <w:sz w:val="20"/>
        </w:rPr>
        <w:t xml:space="preserve">2. </w:t>
      </w:r>
      <w:r>
        <w:rPr>
          <w:rFonts w:ascii="Calibri" w:hAnsi="Calibri"/>
          <w:b w:val="0"/>
          <w:color w:val="3A4A28"/>
          <w:sz w:val="20"/>
        </w:rPr>
        <w:t>Continued Callon integration delivering on the $450M cost savings target by year-end 2026, with potential upside to synergy estimates driving further margin expansion at current commodity prices [1]</w:t>
      </w:r>
    </w:p>
    <w:p>
      <w:pPr>
        <w:spacing w:before="40" w:after="40"/>
        <w:ind w:left="283"/>
      </w:pPr>
      <w:r>
        <w:rPr>
          <w:rFonts w:ascii="Calibri" w:hAnsi="Calibri"/>
          <w:b/>
          <w:color w:val="4A6B25"/>
          <w:sz w:val="20"/>
        </w:rPr>
        <w:t xml:space="preserve">3. </w:t>
      </w:r>
      <w:r>
        <w:rPr>
          <w:rFonts w:ascii="Calibri" w:hAnsi="Calibri"/>
          <w:b w:val="0"/>
          <w:color w:val="3A4A28"/>
          <w:sz w:val="20"/>
        </w:rPr>
        <w:t>Dividend increase as free cash flow generation sustains above $400M/quarter — the 21.2% payout ratio provides significant headroom, and a raise from $1.00 to $1.50+ would signal management confidence and restore income investor interest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sensitivity — revenue declined 12.5% YoY despite rising production, and a sustained oil price below $60/bbl would compress free cash flow, forcing trade-offs between dividends, debt reduction, and development spending [1][2]</w:t>
      </w:r>
    </w:p>
    <w:p>
      <w:pPr>
        <w:spacing w:before="40" w:after="40"/>
        <w:ind w:left="283"/>
      </w:pPr>
      <w:r>
        <w:rPr>
          <w:rFonts w:ascii="Calibri" w:hAnsi="Calibri"/>
          <w:b/>
          <w:color w:val="4A6B25"/>
          <w:sz w:val="20"/>
        </w:rPr>
        <w:t xml:space="preserve">2. </w:t>
      </w:r>
      <w:r>
        <w:rPr>
          <w:rFonts w:ascii="Calibri" w:hAnsi="Calibri"/>
          <w:b w:val="0"/>
          <w:color w:val="3A4A28"/>
          <w:sz w:val="20"/>
        </w:rPr>
        <w:t>Regulatory and environmental liability — DOJ/EPA enforcement for Clean Air Act violations at 422 well pads in NM/TX, with potential for additional enforcement actions as emissions monitoring tightens across the Permian Basin [4]</w:t>
      </w:r>
    </w:p>
    <w:p>
      <w:pPr>
        <w:spacing w:before="40" w:after="40"/>
        <w:ind w:left="283"/>
      </w:pPr>
      <w:r>
        <w:rPr>
          <w:rFonts w:ascii="Calibri" w:hAnsi="Calibri"/>
          <w:b/>
          <w:color w:val="4A6B25"/>
          <w:sz w:val="20"/>
        </w:rPr>
        <w:t xml:space="preserve">3. </w:t>
      </w:r>
      <w:r>
        <w:rPr>
          <w:rFonts w:ascii="Calibri" w:hAnsi="Calibri"/>
          <w:b w:val="0"/>
          <w:color w:val="3A4A28"/>
          <w:sz w:val="20"/>
        </w:rPr>
        <w:t>Structural energy transition risk — APA's explicit commitment to hydrocarbon extraction without diversification into renewables or carbon capture leaves the company unhedged against long-term demand erosion from electrification, efficiency gains, and policy-driven decarbonization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Oil and gas E&amp;P is fundamentally a physical-world business — drilling wells, managing reservoirs, and extracting hydrocarbons requires capital-intensive infrastructure that AI cannot substitute [1]. APA operates across the Permian Basin, Egypt, and North Sea in highly regulated environments with geopolitical complexity beyond AI's reach. The AI-driven data center expansion actually increases energy demand, potentially benefiting E&amp;P producers as natural gas powers electricity generation. However, AI-enabled drilling optimization by competitors could erode APA's relative operational advantages, and AI-powered energy transition technologies (fusion, advanced renewables) represent long-term structural risk to hydrocarbon demand, preventing a higher score. AI Opportunity (1/1): APA's multi-year partnership with Palantir integrates AI into production optimization, predictive maintenance, and supply chain management — generating measurable operational savings that contributed to the company being on track for $450M in cumulative cost savings [3]. While cost-side rather than revenue-side, the Palantir deployment represents real, quantified AI benefit.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APA Corporation Q1 2026 Earnings Release — Adjusted EPS $1.38 (Beat $1.08), Revenue $2.3B, Production 442K BOE/d, FCF $477M, Raised U.S. Oil Production Outlook to 122K bpd, $450M Cost Savings Target,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APA Key Statistics: Stock Price $44.10, Forward P/E 10.12, P/E 9.40, Market Cap $15.45B, ROE 26.22%, Revenue TTM $8.57B (-12.5%),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APA Corporation and Palantir AI Partnership — Multi-Year, Multi-Million Dollar Agreement for Supply Chain, Production Optimization, and Predictive Maintenance, 2024-2026</w:t>
      </w:r>
    </w:p>
    <w:p>
      <w:pPr>
        <w:spacing w:before="20" w:after="20"/>
        <w:ind w:left="170"/>
      </w:pPr>
      <w:r>
        <w:rPr>
          <w:rFonts w:ascii="Calibri" w:hAnsi="Calibri"/>
          <w:b/>
          <w:color w:val="4A6B25"/>
          <w:sz w:val="15"/>
        </w:rPr>
        <w:t xml:space="preserve">4. </w:t>
      </w:r>
      <w:r>
        <w:rPr>
          <w:rFonts w:ascii="Calibri" w:hAnsi="Calibri"/>
          <w:b w:val="0"/>
          <w:color w:val="3A4A28"/>
          <w:sz w:val="17"/>
        </w:rPr>
        <w:t>APA Corporation Sustainability Report and EPA Enforcement — Methane Intensity Reduction Target, ESG Goals Tied to Compensation, Clean Air Act Violations at 422 Well Pads ($4M Penalty), 2024-2026</w:t>
      </w:r>
    </w:p>
    <w:p>
      <w:pPr>
        <w:spacing w:before="20" w:after="20"/>
        <w:ind w:left="170"/>
      </w:pPr>
      <w:r>
        <w:rPr>
          <w:rFonts w:ascii="Calibri" w:hAnsi="Calibri"/>
          <w:b/>
          <w:color w:val="4A6B25"/>
          <w:sz w:val="15"/>
        </w:rPr>
        <w:t xml:space="preserve">5. </w:t>
      </w:r>
      <w:r>
        <w:rPr>
          <w:rFonts w:ascii="Calibri" w:hAnsi="Calibri"/>
          <w:b w:val="0"/>
          <w:color w:val="3A4A28"/>
          <w:sz w:val="17"/>
        </w:rPr>
        <w:t>APA Corporation Dividend History and Insider Activity — $1.00 Annual Dividend (Since 1965), Director Ellis $100K Purchase at $22.78 (Dec 2025), D/E 70%, Payout Ratio 21.2%, GuruFocus and Nasdaq,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