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APD</w:t>
      </w:r>
      <w:r>
        <w:rPr>
          <w:rFonts w:ascii="Calibri" w:hAnsi="Calibri"/>
          <w:b/>
          <w:color w:val="1A2010"/>
          <w:sz w:val="40"/>
        </w:rPr>
        <w:t xml:space="preserve">  Air Products and Chemicals, Inc.</w:t>
      </w:r>
    </w:p>
    <w:p>
      <w:pPr>
        <w:spacing w:after="120"/>
      </w:pPr>
      <w:r>
        <w:rPr>
          <w:rFonts w:ascii="Calibri" w:hAnsi="Calibri"/>
          <w:b/>
          <w:color w:val="6E8450"/>
          <w:sz w:val="18"/>
        </w:rPr>
        <w:t>DIVIDEND SLEEVE · 2026-07-28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Air Products and Chemicals is the world's largest supplier of hydrogen and a leading global industrial gases company, providing atmospheric gases (oxygen, nitrogen, argon), process gases (hydrogen, helium, carbon dioxide), and specialty gases. Under new CEO Eduardo Menezes (appointed February 2025 after activist involvement by Mantle Ridge and D.E. Shaw), the company is refocusing on financial returns while completing the NEOM green hydrogen mega-project and exiting the Louisiana Clean Energy Complex.</w:t>
      </w:r>
    </w:p>
    <w:p>
      <w:r>
        <w:rPr>
          <w:rFonts w:ascii="Calibri" w:hAnsi="Calibri"/>
          <w:b/>
          <w:color w:val="6E8450"/>
          <w:sz w:val="18"/>
        </w:rPr>
        <w:t>21,000 Employees · https://www.airproducts.com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Products has executed a strategic transformation toward becoming the world's leading clean hydrogen producer, with the NEOM green hydrogen mega-project now &gt;90% complete and targeting commercial production in 2027 with up to 1.2M tpy renewable ammonia [1][2]. The disciplined exit from the Louisiana Clean Energy Complex (LCEC) — accepting a $2.9B charge to walk away from a project that didn't meet return thresholds — demonstrates financial rigor under new CEO Menezes [2]. AI Deployment (1/2): The company deploys advanced process optimization and digital monitoring across its global plant network, and its CIO has led an IT transformation to support business strategy, though no AI-specific revenue or products are disclosed [3]. Market Share (2/2): Air Products operates in a global oligopoly with Air Liquide and Linde, holding the world's largest hydrogen supplier position. The $140M+ NASA liquid hydrogen supply contracts and Baker Hughes hydrogen compression partnership underscore dominant market positioning [1]. Product Pipeline (1/2): NEOM green hydrogen targeting 2027 production with Yara marketing agreement for renewable ammonia, hydrogen-capable boiler burner technology, and next-gen portable hydrogen fueler — but the LCEC exit reduces pipeline scope [1][2]. R&amp;D Intensity (1/1): Significant R&amp;D investment in hydrogen production, carbon capture, and gasification technologies, well above specialty chemical industry averages, with a five-year roadmap targeting mid-teens adjusted return on capital by 2030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Products' purpose — 'to bring people together to reimagine what's possible, collaborate and innovate solutions to the world's most significant energy and environmental sustainability challenges' — is specific, thoughtful, and validated by billions in clean hydrogen investment [4]. The purpose clearly shapes capital allocation decisions, even the LCEC exit was framed in terms of return discipline rather than abandoning the cause. Community Impact (1/2): MSCI 'A' ESG rating, ISS ESG Prime status, and seven consecutive years on Barron's 100 Most Sustainable Companies validate the sustainability strategy [5]. The 2026 Sustainability Report covers fiscal 2025 environmental and social performance. However, specific community investment dollar amounts are not prominently disclosed. Employee Retention (1/2): Glassdoor rating of 3.9/5 with 72% recommending to a friend, and Comparably rates the Executive Team in the Top 20% of companies with 10,000+ employees [3]. However, the CEO transition from Ghasemi to Menezes after activist involvement created cultural disruption, with some Glassdoor reviews describing demoralization. Insider Buying (1/2): Mixed insider activity with both purchases and sales; the Mantle Ridge board presence provides structural alignment through activist shareholder oversight, but net insider selling persists at the executive level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formula. Q2 FY2026 adjusted EPS of $3.20 beat estimates by 5% with revenue of $3.2B exceeding the $3.07B consensus, while operating margin expanded 200bps to 23.7% driven by strong on-site volumes and cost productivity [1]. Full-year EPS guidance was raised, now implying 8-10% growth at midpoint, with a five-year roadmap targeting mid-teens adjusted ROIC by 2030. D/E of 150% is elevated from hydrogen capex financing but manageable for an asset-intensive industrial gas business with long-term take-or-pay contracts. GAAP ROE of -1.9% reflects impairment charges (including the pending $2.9B LCEC exit charge in Q3 FY2026) rather than operating weakness — adjusted EPS of $3.20 in Q2 demonstrates strong underlying profitability [1]. Profit margin of 16.9% and Forward P/E of 21.5 are reasonable for a Dividend Aristocrat with 42 consecutive years of dividend increases. The 2.53% yield with 50.7% payout ratio and 4.4% five-year dividend growth CAGR provide income stability. Liquidity cleared: ~$283 x 1.4M volume = $397M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Air Products demonstrates strong infinite game characteristics through its 85-year history, 42 consecutive years of dividend increases, and multi-decade bet on clean hydrogen that sacrifices near-term free cash flow for long-term energy transition positioning. The NEOM project commitment through completion despite activist pressure reflects genuine long-term thinking. However, the activist-driven CEO change, LCEC exit, and refocus on near-term return metrics under Menezes introduce finite game pressures that temper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Air Products' purpose — reimagining solutions to the world's energy and sustainability challenges — is genuine and validated by billions in clean hydrogen investment, including the NEOM green hydrogen mega-project now &gt;90% complete [1][2]. The company has bet its future on enabling the energy transition. However, the LCEC exit and increased emphasis on return thresholds under activist influence create tension between the long-term cause and near-term financial optimization. The purpose has been tested by the activist board battle but survived — Menezes is completing NEOM while applying return discipline.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 Products maintains 21,000 employees with generally stable organizational structure. Comparably rates the Executive Team in the Top 20% of companies with 10,000+ employees, and Glassdoor shows 72% recommending the company [3]. However, the CEO transition from Ghasemi to Menezes after activist involvement disrupted company culture — Glassdoor reviews describe the change as having 'ripped the heart out of the company,' and only 51% have a positive business outlook [3]. The trust environment is in transition under new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Air Products operates in a disciplined global oligopoly with Air Liquide and Linde, where the three companies respect each other's regional strengths and compete on technology, efficiency, and customer service rather than destructive pricing [1]. The hydrogen race with competitors drives innovation in clean energy without zero-sum competitive rhetoric. Management frames the competitive landscape in terms of capability development and market leadership rather than crushing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Air Products has evolved from a pure industrial gas supplier to a clean energy company, making multi-billion dollar bets on hydrogen production, carbon capture, and ammonia [1]. The disciplined exit from LCEC while maintaining NEOM shows strategic flexibility — willingness to kill projects that don't work while staying committed to the broader clean hydrogen vision [2]. These are meaningful strategic adaptations but incremental extensions of the core industrial gas business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Air Products has invested billions in clean hydrogen projects despite deeply negative free cash flow, accepting near-term financial pain for long-term strategic positioning [1]. The decision to complete NEOM through commercial production rather than cutting it like LCEC shows selective courage. The LCEC exit itself — accepting a $2.9B charge to walk away from sunk costs that don't meet return thresholds — demonstrates financial discipline that can be interpreted as courage [2]. However, the leadership change was externally imposed by activist investors rather than internally generated, reducing the courage attribution.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Products is the world's largest hydrogen supplier and a Dividend Aristocrat with 42 consecutive years of dividend increases, delivering a strong Q2 FY2026 with adjusted EPS of $3.20 (beating estimates by 5%), revenue of $3.2B (above $3.07B consensus), and operating margins expanding 200bps to 23.7% [1]. Under new CEO Eduardo Menezes, the company has raised full-year EPS guidance to 8-10% growth while applying return discipline — completing the NEOM green hydrogen mega-project (&gt;90% complete, 2027 commercial production with 1.2M tpy renewable ammonia and Yara marketing agreement) while exiting the LCEC for not meeting return thresholds [1][2]. The 2.53% dividend yield, $63B market cap, and oligopolistic market structure provide stability while hydrogen investments mature. The five-year roadmap targets mid-teens adjusted ROIC by 2030, and shares have surged 55% over the past year as investors applaud the strategic refocus.</w:t>
      </w:r>
    </w:p>
    <w:p>
      <w:pPr>
        <w:spacing w:after="120"/>
      </w:pPr>
      <w:r>
        <w:rPr>
          <w:rFonts w:ascii="Calibri" w:hAnsi="Calibri"/>
          <w:b w:val="0"/>
          <w:color w:val="3A4A28"/>
          <w:sz w:val="20"/>
        </w:rPr>
        <w:t>The bear case centers on massive capital deployment risk, impaired GAAP financials, and cultural disruption. The pending $2.9B LCEC exit charge in Q3 FY2026 adds to existing impairment damage that has pushed GAAP ROE to -1.9% and trailing P/E to 30x — creating a stark disconnect between reported and normalized profitability [1][2]. D/E of 150% is elevated from hydrogen project financing and limits balance sheet flexibility. Free cash flow remains deeply negative from $4B+ annual capex, creating dependency on debt markets during a period of elevated interest rates. The LCEC exit raises questions about whether other clean hydrogen projects face similar return challenges — if NEOM's economics don't meet expectations at commercial scale, the entire hydrogen strategy could be at risk [2]. Dividend growth of 4.4% over 5 years lags the 6% target, and the 50.7% payout ratio on adjusted earnings leaves limited margin for error. Helium pricing headwinds are projected to create a 4% EPS drag for FY2026, and the activist-driven leadership transition continues to create cultural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NEOM green hydrogen project &gt;90% complete with commercial production targeted for 2027, including Yara marketing agreement for up to 1.2M tpy renewable ammonia — the world's first commercial-scale green hydrogen facility [1][2]</w:t>
      </w:r>
    </w:p>
    <w:p>
      <w:pPr>
        <w:spacing w:before="40" w:after="40"/>
        <w:ind w:left="283"/>
      </w:pPr>
      <w:r>
        <w:rPr>
          <w:rFonts w:ascii="Calibri" w:hAnsi="Calibri"/>
          <w:b/>
          <w:color w:val="4A6B25"/>
          <w:sz w:val="20"/>
        </w:rPr>
        <w:t xml:space="preserve">2. </w:t>
      </w:r>
      <w:r>
        <w:rPr>
          <w:rFonts w:ascii="Calibri" w:hAnsi="Calibri"/>
          <w:b w:val="0"/>
          <w:color w:val="3A4A28"/>
          <w:sz w:val="20"/>
        </w:rPr>
        <w:t>Q2 FY2026 operating margin expansion of 200bps to 23.7% with full-year EPS guidance raised to 8-10% growth, validating the operational improvement thesis under CEO Menezes [1]</w:t>
      </w:r>
    </w:p>
    <w:p>
      <w:pPr>
        <w:spacing w:before="40" w:after="40"/>
        <w:ind w:left="283"/>
      </w:pPr>
      <w:r>
        <w:rPr>
          <w:rFonts w:ascii="Calibri" w:hAnsi="Calibri"/>
          <w:b/>
          <w:color w:val="4A6B25"/>
          <w:sz w:val="20"/>
        </w:rPr>
        <w:t xml:space="preserve">3. </w:t>
      </w:r>
      <w:r>
        <w:rPr>
          <w:rFonts w:ascii="Calibri" w:hAnsi="Calibri"/>
          <w:b w:val="0"/>
          <w:color w:val="3A4A28"/>
          <w:sz w:val="20"/>
        </w:rPr>
        <w:t>Five-year roadmap targeting mid-teens adjusted ROIC by 2030 through continued margin expansion, portfolio optimization, and disciplined capital allocation — LCEC exit demonstrates willingness to prioritize returns over project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$2.9B LCEC exit charge in Q3 FY2026 adds to impairment damage, and D/E of 150% limits balance sheet flexibility if hydrogen projects face delays or cost overruns — free cash flow remains deeply negative from $4B+ annual capex [1][2]</w:t>
      </w:r>
    </w:p>
    <w:p>
      <w:pPr>
        <w:spacing w:before="40" w:after="40"/>
        <w:ind w:left="283"/>
      </w:pPr>
      <w:r>
        <w:rPr>
          <w:rFonts w:ascii="Calibri" w:hAnsi="Calibri"/>
          <w:b/>
          <w:color w:val="4A6B25"/>
          <w:sz w:val="20"/>
        </w:rPr>
        <w:t xml:space="preserve">2. </w:t>
      </w:r>
      <w:r>
        <w:rPr>
          <w:rFonts w:ascii="Calibri" w:hAnsi="Calibri"/>
          <w:b w:val="0"/>
          <w:color w:val="3A4A28"/>
          <w:sz w:val="20"/>
        </w:rPr>
        <w:t>NEOM commercial viability risk — green hydrogen economics must meet return thresholds at scale without ongoing subsidies, and any execution delay beyond 2027 would extend the period of negative free cash flow and elevated leverage</w:t>
      </w:r>
    </w:p>
    <w:p>
      <w:pPr>
        <w:spacing w:before="40" w:after="40"/>
        <w:ind w:left="283"/>
      </w:pPr>
      <w:r>
        <w:rPr>
          <w:rFonts w:ascii="Calibri" w:hAnsi="Calibri"/>
          <w:b/>
          <w:color w:val="4A6B25"/>
          <w:sz w:val="20"/>
        </w:rPr>
        <w:t xml:space="preserve">3. </w:t>
      </w:r>
      <w:r>
        <w:rPr>
          <w:rFonts w:ascii="Calibri" w:hAnsi="Calibri"/>
          <w:b w:val="0"/>
          <w:color w:val="3A4A28"/>
          <w:sz w:val="20"/>
        </w:rPr>
        <w:t>Cultural disruption from activist-driven CEO transition — Glassdoor reviews cite demoralization, only 51% positive business outlook, and loss of institutional identity under new leadership, potentially impacting operational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Products' core business — producing and delivering industrial gases through massive physical infrastructure including air separation units, cryogenic systems, pipelines, and on-site plants — is structurally immune to AI disruption [1]. Industrial gas production requires capital-intensive physical assets, decades of permitting, and pipeline networks that AI cannot replicate or substitute. The business operates under long-term take-or-pay contracts with essential industries (refining, chemicals, electronics, healthcare). AI data centers actually increase demand for Air Products' gases — semiconductor fabrication requires ultra-pure nitrogen and specialty gases, and the hyperscaler buildout drives electricity demand that could accelerate hydrogen adoption [1]. The global oligopoly structure (APD/Air Liquide/Linde) provides additional protection from competitive disruption. AI Opportunity (1/1): Clean hydrogen production enables AI infrastructure through fuel cell power solutions and semiconductor supply chain gases, and the NEOM project's 1.2M tpy renewable ammonia capacity positions APD for the emerging clean energy/AI power intersection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 Products Q2 FY2026 Earnings Release — $3.2B revenue (beat $3.07B), adjusted EPS $3.20 (beat $3.05, +19% YoY), operating margin 23.7% (up 200bps), guidance raised to 8-10% EPS growth, April 2026</w:t>
      </w:r>
    </w:p>
    <w:p>
      <w:pPr>
        <w:spacing w:before="20" w:after="20"/>
        <w:ind w:left="170"/>
      </w:pPr>
      <w:r>
        <w:rPr>
          <w:rFonts w:ascii="Calibri" w:hAnsi="Calibri"/>
          <w:b/>
          <w:color w:val="4A6B25"/>
          <w:sz w:val="15"/>
        </w:rPr>
        <w:t xml:space="preserve">2. </w:t>
      </w:r>
      <w:r>
        <w:rPr>
          <w:rFonts w:ascii="Calibri" w:hAnsi="Calibri"/>
          <w:b w:val="0"/>
          <w:color w:val="3A4A28"/>
          <w:sz w:val="17"/>
        </w:rPr>
        <w:t>Air Products Strategic Updates — NEOM &gt;90% complete, LCEC exit with $2.9B charge, Baker Hughes hydrogen compression partnership, NASA $140M+ contracts, Yara ammonia marketing agreement, 2026</w:t>
      </w:r>
    </w:p>
    <w:p>
      <w:pPr>
        <w:spacing w:before="20" w:after="20"/>
        <w:ind w:left="170"/>
      </w:pPr>
      <w:r>
        <w:rPr>
          <w:rFonts w:ascii="Calibri" w:hAnsi="Calibri"/>
          <w:b/>
          <w:color w:val="4A6B25"/>
          <w:sz w:val="15"/>
        </w:rPr>
        <w:t xml:space="preserve">3. </w:t>
      </w:r>
      <w:r>
        <w:rPr>
          <w:rFonts w:ascii="Calibri" w:hAnsi="Calibri"/>
          <w:b w:val="0"/>
          <w:color w:val="3A4A28"/>
          <w:sz w:val="17"/>
        </w:rPr>
        <w:t>Glassdoor (3.9/5, 72% recommend), Comparably (Top 20% Executive Team), Air Products CIO IT transformation,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Air Products Purpose and Sustainability — mission statement, Sustainable Legacies strategy, airproducts.com</w:t>
      </w:r>
    </w:p>
    <w:p>
      <w:pPr>
        <w:spacing w:before="20" w:after="20"/>
        <w:ind w:left="170"/>
      </w:pPr>
      <w:r>
        <w:rPr>
          <w:rFonts w:ascii="Calibri" w:hAnsi="Calibri"/>
          <w:b/>
          <w:color w:val="4A6B25"/>
          <w:sz w:val="15"/>
        </w:rPr>
        <w:t xml:space="preserve">5. </w:t>
      </w:r>
      <w:r>
        <w:rPr>
          <w:rFonts w:ascii="Calibri" w:hAnsi="Calibri"/>
          <w:b w:val="0"/>
          <w:color w:val="3A4A28"/>
          <w:sz w:val="17"/>
        </w:rPr>
        <w:t>MSCI 'A' ESG Rating, ISS ESG Prime Status, Barron's 100 Most Sustainable (7th year), 2026 Sustainability Report,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APD Key Statistics (Forward P/E 21.5, D/E 150%, ROE -1.9%, dividend yield 2.53%),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