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APLE</w:t>
      </w:r>
      <w:r>
        <w:rPr>
          <w:rFonts w:ascii="Calibri" w:hAnsi="Calibri"/>
          <w:b/>
          <w:color w:val="1A2010"/>
          <w:sz w:val="40"/>
        </w:rPr>
        <w:t xml:space="preserve">  Apple Hospitality REIT, Inc.</w:t>
      </w:r>
    </w:p>
    <w:p>
      <w:pPr>
        <w:spacing w:after="120"/>
      </w:pPr>
      <w:r>
        <w:rPr>
          <w:rFonts w:ascii="Calibri" w:hAnsi="Calibri"/>
          <w:b/>
          <w:color w:val="6E8450"/>
          <w:sz w:val="18"/>
        </w:rPr>
        <w:t>DIVIDEND SLEEVE · 2026-07-13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Apple Hospitality REIT is one of the largest hospitality REITs in the U.S., owning a diverse portfolio of 217 upscale, rooms-focused select-service hotels with approximately 29,583 rooms across 86 markets in 37 states and Washington D.C. The portfolio is concentrated in Marriott, Hilton, and Hyatt-branded properties (Residence Inn, Hampton, Hilton Garden Inn, Courtyard). Pays a monthly dividend. Founded by Glade Knight, led by CEO Justin Knight since 2014. Market cap approximately $3.9 billion.</w:t>
      </w:r>
    </w:p>
    <w:p>
      <w:r>
        <w:rPr>
          <w:rFonts w:ascii="Calibri" w:hAnsi="Calibri"/>
          <w:b/>
          <w:color w:val="6E8450"/>
          <w:sz w:val="18"/>
        </w:rPr>
        <w:t>64 Employees · https://www.applehospitalityreit.com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Apple Hospitality REIT operates a stable select-service hotel portfolio with no major business model pivots in the last five years; the strategy of owning upscale branded hotels remains unchanged [1]. Portfolio rotation continues — the company entered forward-purchase agreements for hotels in Anchorage and Las Vegas in Q1 2026, and maintains an active disposition program for lower-yield assets. However, these are incremental capital allocation decisions, not product innovation or market pivots. AI Deployment (0/2): APLE is a passive hotel owner with 64 corporate employees; brand partners (Marriott, Hilton, Hyatt) deploy AI for revenue management and guest personalization, but Apple Hospitality itself has not shipped AI products or reported quantified AI-driven cost savings internally. Market Share (1/2): APLE owns one of the largest select-service hotel portfolios in the U.S. with 29,583 rooms, representing a meaningful player in the hospitality REIT sector, though smaller than full-service peers like Host Hotels [1]. Product Pipeline (1/2): $80-90M annual CapEx for portfolio refresh and new forward-purchase agreements in growth markets provide some visibility, but no next-gen product development. R&amp;D Intensity (0/1): REIT business model with no traditional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Apple Hospitality's purpose centers on 'providing investors with strong cash yields and relative stability' through diversified upscale select-service hotel ownership [3]. This is clear and identifies what the company does and for whom, but does not articulate a deeper purpose beyond financial returns — it is interchangeable with most hotel REITs. Community Impact (1/2): The company publishes an annual Corporate Responsibility Report, CEO Justin Knight took the CEO Action for Diversity &amp; Inclusion pledge, and the executive team is 50% female [3][4]. Energy management and sustainability initiatives are embedded in the ESG program. These are meaningful but represent general corporate responsibility rather than distinctive community investment with specific dollar amounts. Employee Retention (2/2): CEO Justin Knight has been with Apple REIT companies since 2000 (25+ years) and CEO since 2014; founder Glade Knight continues as Executive Chairman [3]. CFO Elizabeth Perkins has served since 2006 (20+ years). The lean 64-employee corporate team shows exceptional leadership tenure and continuity across multiple market cycles, including the COVID-19 crisis. Insider Buying (0/2): Modest insider buying was identified — Executive Chairman Glade Knight purchased ~$95,900 in stock in late 2025, and Director Redd Hugh bought ~$16,100 — but these amounts are small relative to the company's $3.9B market cap and do not indicate meaningful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stock). Q1 2026 revenue of $337.7M (+3.1% YoY) with comparable hotel RevPAR of $114.61 (+2.2% YoY) and adjusted hotel EBITDA of $108.5M (32.2% margin) demonstrate steady recovery [1]. The company raised full-year 2026 RevPAR guidance by 100 bps to 1% midpoint growth, with April data showing RevPAR accelerating to 4%+ [1]. GAAP payout ratio of 132% is distorted by REIT depreciation charges; FFO-based payout is estimated at ~65-70%. Calculation: D/E 54% scores 1.0, ROE 5.4% scores 0.36, Rev YoY 3.1% scores 0.77, Rev 5yr CAGR ~5% scores 0.67, Fwd P/E 23.86 scores 0.90, Profit Margin 12.1% scores 0.60, Payout Ratio 132% scores 0.0, Consec Years Paid 6 scores 0.60 (2x weight), Consec Years Growth 0 scores 0.0, 5yr Div Growth CAGR ~0% scores 0.0 (2x weight). Weighted sum 5.50 / max 12 = 4.6, rounds to 5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Apple Hospitality REIT demonstrates patient, long-term ownership characteristics: 25+ year CEO tenure, founder still active as Executive Chairman, conservative balance sheet management, and clear focus on durable cash yield through quality hotel ownership. However, the company lacks a transcendent purpose beyond shareholder returns, has not demonstrated existential flexibility or transformative reinvention, and its competitive mindset is focused on financial metrics rather than learning from rivals.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Apple Hospitality's purpose of 'providing strong cash yields with relative stability' through quality hotel ownership is a coherent shareholder promise but reads as financial positioning rather than a transformative vision of a better future [3]. The cause identifies the company's value proposition clearly but does not inspire sacrifice or articulate why the world needs this company beyond generating returns. Most hotel REITs could adopt the same mission statement verbatim.</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Justin Knight's 25+ year tenure with Apple REIT companies (CEO since 2014), founder Glade Knight's continued involvement as Executive Chairman, and CFO Elizabeth Perkins' 20+ year tenure create an exceptionally stable leadership structure [3]. The 64-employee corporate team demonstrates deep continuity through multiple market cycles including the COVID-19 crisis. The executive team being 50% female and Knight's CEO Action for D&amp;I pledge suggest an inclusive organizational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commentary focuses on portfolio quality, RevPAR performance, and operating margins rather than acknowledging competitors' strengths as motivation for improvement [1]. No evidence of Sinek-style worthy rival thinking — competition is framed in financial terms (relative performance vs. peers) rather than as inspiration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Apple Hospitality REIT has been a select-service hotel REIT since its inception, with no evidence of transformative strategic pivots [3]. The company has rotated its portfolio through market cycles (post-2008, post-COVID) and adapted its distribution policy as needed (suspending dividends during COVID, then resuming monthly payments), but these are tactical adjustments within the same business model, not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During the COVID-19 crisis, Apple Hospitality made the difficult decision to suspend dividends early to preserve liquidity and maintain its hotel portfolio, rather than being forced into distressed asset sales like some peers [3]. The company held its 220+ hotel portfolio through the worst travel downturn in modern history and resumed dividends as conditions improved. More recently, the forward-purchase agreements in Anchorage and Las Vegas demonstrate conviction in growth markets while the broader hospitality sector remains cautious.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Apple Hospitality REIT owns 217 upscale select-service hotels (~29,583 rooms) under premium brands (Residence Inn, Hampton, Hilton Garden Inn, Courtyard) and yields 5.79% via a monthly $0.08 dividend ($0.96 annualized) [1][2]. Q1 2026 showed meaningful improvement with revenue of $337.7M (+3.1% YoY), comparable RevPAR of $114.61 (+2.2% YoY), and adjusted hotel EBITDA of $108.5M (32.2% margin). Management raised full-year 2026 RevPAR guidance by 100 bps, citing resilient demand and FIFA World Cup tailwinds, with preliminary April data showing RevPAR accelerating to over 4% [1]. Conservative balance sheet with D/E of 54%, $1.57B total debt at 4.65% weighted average rate, and forward-purchase agreements in Anchorage and Las Vegas demonstrate prudent growth. CEO Justin Knight's 25+ year tenure provides governance stability.</w:t>
      </w:r>
    </w:p>
    <w:p>
      <w:pPr>
        <w:spacing w:after="120"/>
      </w:pPr>
      <w:r>
        <w:rPr>
          <w:rFonts w:ascii="Calibri" w:hAnsi="Calibri"/>
          <w:b w:val="0"/>
          <w:color w:val="3A4A28"/>
          <w:sz w:val="20"/>
        </w:rPr>
        <w:t>The IOWN framework structurally underweights hotel REITs due to limited innovation, modest organic growth, and the absence of a transcendent purpose beyond financial returns. Revenue growth has been anemic on a pre-COVID basis (~1% CAGR from 2019 to 2026), and the GAAP payout ratio of 132% — while distorted by REIT depreciation — highlights that the monthly dividend ($0.96 annualized) consumes more than reported earnings [2]. The dividend has not recovered to pre-COVID levels ($1.20/year in 2019 vs. $0.96 today), resulting in zero consecutive years of dividend growth and a negative 5-year dividend growth CAGR. ROE of 5.4% reflects the capital-intensive nature of hotel ownership, and the Forward P/E of 23.86 provides limited valuation cushion. A recession compressing leisure and business travel would pressure RevPAR, margins, and dividend coverage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RevPAR growth accelerating to 4%+ in April 2026, with FIFA World Cup in 2026 expected to boost occupancy and ADR in select markets where APLE has significant hotel presence</w:t>
      </w:r>
    </w:p>
    <w:p>
      <w:pPr>
        <w:spacing w:before="40" w:after="40"/>
        <w:ind w:left="283"/>
      </w:pPr>
      <w:r>
        <w:rPr>
          <w:rFonts w:ascii="Calibri" w:hAnsi="Calibri"/>
          <w:b/>
          <w:color w:val="4A6B25"/>
          <w:sz w:val="20"/>
        </w:rPr>
        <w:t xml:space="preserve">2. </w:t>
      </w:r>
      <w:r>
        <w:rPr>
          <w:rFonts w:ascii="Calibri" w:hAnsi="Calibri"/>
          <w:b w:val="0"/>
          <w:color w:val="3A4A28"/>
          <w:sz w:val="20"/>
        </w:rPr>
        <w:t>5.79% monthly dividend yield ($0.96 annualized) provides reliable income stream for dividend-focused investors, with conservative D/E of 54% supporting dividend sustainability</w:t>
      </w:r>
    </w:p>
    <w:p>
      <w:pPr>
        <w:spacing w:before="40" w:after="40"/>
        <w:ind w:left="283"/>
      </w:pPr>
      <w:r>
        <w:rPr>
          <w:rFonts w:ascii="Calibri" w:hAnsi="Calibri"/>
          <w:b/>
          <w:color w:val="4A6B25"/>
          <w:sz w:val="20"/>
        </w:rPr>
        <w:t xml:space="preserve">3. </w:t>
      </w:r>
      <w:r>
        <w:rPr>
          <w:rFonts w:ascii="Calibri" w:hAnsi="Calibri"/>
          <w:b w:val="0"/>
          <w:color w:val="3A4A28"/>
          <w:sz w:val="20"/>
        </w:rPr>
        <w:t>Forward-purchase hotel agreements in high-growth markets (Anchorage, Las Vegas) and ongoing portfolio recycling creating incremental value through disciplined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has not recovered to pre-COVID levels ($0.96/year vs. $1.20 pre-COVID), resulting in zero consecutive years of growth and a negative 5-year dividend CAGR, with GAAP payout ratio of 132% signaling thin coverage</w:t>
      </w:r>
    </w:p>
    <w:p>
      <w:pPr>
        <w:spacing w:before="40" w:after="40"/>
        <w:ind w:left="283"/>
      </w:pPr>
      <w:r>
        <w:rPr>
          <w:rFonts w:ascii="Calibri" w:hAnsi="Calibri"/>
          <w:b/>
          <w:color w:val="4A6B25"/>
          <w:sz w:val="20"/>
        </w:rPr>
        <w:t xml:space="preserve">2. </w:t>
      </w:r>
      <w:r>
        <w:rPr>
          <w:rFonts w:ascii="Calibri" w:hAnsi="Calibri"/>
          <w:b w:val="0"/>
          <w:color w:val="3A4A28"/>
          <w:sz w:val="20"/>
        </w:rPr>
        <w:t>Organic revenue growth of 3.1% and pre-COVID 7-year CAGR of approximately 1% reflect a fundamentally low-growth business model dependent on hospitality cycle dynamics and acquisition activity</w:t>
      </w:r>
    </w:p>
    <w:p>
      <w:pPr>
        <w:spacing w:before="40" w:after="40"/>
        <w:ind w:left="283"/>
      </w:pPr>
      <w:r>
        <w:rPr>
          <w:rFonts w:ascii="Calibri" w:hAnsi="Calibri"/>
          <w:b/>
          <w:color w:val="4A6B25"/>
          <w:sz w:val="20"/>
        </w:rPr>
        <w:t xml:space="preserve">3. </w:t>
      </w:r>
      <w:r>
        <w:rPr>
          <w:rFonts w:ascii="Calibri" w:hAnsi="Calibri"/>
          <w:b w:val="0"/>
          <w:color w:val="3A4A28"/>
          <w:sz w:val="20"/>
        </w:rPr>
        <w:t>Recession risk would compress both leisure and business travel simultaneously, pressuring RevPAR, occupancy, and hotel EBITDA margins that currently stand at 32.2% — a level that could deteriorate rapidly in a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Hotel ownership is a textbook IMMUNE business — physical real estate that AI cannot replace. Travelers must physically occupy rooms, and the select-service hotel segment is driven by location, brand quality, and operational execution rather than information services that AI could substitute [1]. AI may even boost travel demand through AI conferences, tech industry expansion, and productivity-driven business travel growth. The brand operators (Marriott, Hilton, Hyatt) handle AI deployment for revenue management and guest personalization, so APLE benefits from AI efficiency gains without bearing the development cost or facing substitution risk. Analysts have not flagged AI as a disruption risk for hotel REITs. AI Opportunity (0/1): No direct AI revenue stream — APLE is a passive owner of physical real estate assets that relies on third-party brand operators for technology deployment and operational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Apple Hospitality REIT Q1 2026 Earnings Release and 10-Q — $337.7M revenue, RevPAR +2.2%, raised 2026 guidance, 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APLE Key Statistics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Apple Hospitality REIT Leadership and Corporate Responsibility — applehospitalityreit.com,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Apple Hospitality REIT 2024 Annual Corporate Responsibility Report — BusinessWire, December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ChartMill — APLE Valuation and Q1 2026 Guidance Analysis,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