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ARDT</w:t>
      </w:r>
      <w:r>
        <w:rPr>
          <w:rFonts w:ascii="Calibri" w:hAnsi="Calibri"/>
          <w:b/>
          <w:color w:val="1A2010"/>
          <w:sz w:val="40"/>
        </w:rPr>
        <w:t xml:space="preserve">  Ardent Health, Inc.</w:t>
      </w:r>
    </w:p>
    <w:p>
      <w:pPr>
        <w:spacing w:after="120"/>
      </w:pPr>
      <w:r>
        <w:rPr>
          <w:rFonts w:ascii="Calibri" w:hAnsi="Calibri"/>
          <w:b/>
          <w:color w:val="6E8450"/>
          <w:sz w:val="18"/>
        </w:rPr>
        <w:t>GROWTH SLEEVE · 2026-08-18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Ardent Health, Inc. is a leading provider of healthcare services in growing mid-sized urban communities across the United States. The company delivers care through a system of 30 acute care hospitals and approximately 280 sites of care with over 1,800 affiliated providers across six states. Founded in 2001 and headquartered in Brentwood, Tennessee, Ardent completed its IPO in July 2024. New CEO Dave Caspers was elevated from COO in 2026.</w:t>
      </w:r>
    </w:p>
    <w:p>
      <w:r>
        <w:rPr>
          <w:rFonts w:ascii="Calibri" w:hAnsi="Calibri"/>
          <w:b/>
          <w:color w:val="6E8450"/>
          <w:sz w:val="18"/>
        </w:rPr>
        <w:t>23,000 Employees · https://www.ardenthealth.com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Ardent has grown revenue from $5.1B in 2022 to $6.3B TTM, primarily through hospital acquisitions and service line expansion into urgent care centers across Oklahoma, New Mexico, Texas, and Kansas [1]. The 2024 IPO marked a structural transition from private to public ownership. This represents steady operational growth but not a transformative business model pivot. AI Deployment (2/2): Ardent has deployed AI-powered clinical documentation through Ambience, enabling physicians to focus on patient conversations while AI handles notes, with CEO Bonick reporting strong physician adoption at ViVE 2025 [2]. The company also implements virtual nursing programs and appointed a chief data officer to lead AI and data science initiatives across the organization [2]. Market Share (1/2): Operating 30 hospitals and 280 sites across six states positions Ardent as a meaningful regional healthcare provider, but it remains mid-sized against HCA Healthcare ($65B+), Tenet, and Community Health Systems [1]. Pipeline (1/2): Management reaffirmed 2026 guidance of $6.4-$6.7 billion revenue and $485-535 million adjusted EBITDA, with the IMPACT technology initiative expected to drive EBITDA growth recovery in 2027 [1]. R&amp;D Intensity (0/1): Hospital systems do not conduct traditional R&amp;D; innovation comes through technology adoption and operational improvements.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Ardent's leadership emphasizes a 'competitive team spirit' and 'dedication to caring for others,' with focus on performance, operational excellence, care transformation, and innovation [2]. The healthcare delivery purpose is genuine but reads as standard for any hospital system — it does not articulate a distinctive or transformative vision. Community Impact (1/2): As a hospital operator serving mid-sized urban communities across six states, Ardent provides essential healthcare infrastructure including emergency departments and specialty services in markets that might otherwise lack access [1]. No distinctive charitable foundation or community investment programs beyond core healthcare delivery were identified. Employee Retention (0/2): The CEO transition from Marty Bonick to Dave Caspers provides some leadership continuity (Caspers was promoted internally from COO), but no specific employee tenure, turnover, or retention data was found for Ardent's 23,000 employees [2]. Insider Buying (1/2): Director Robert DeMichiei purchased 11,260 shares and CFO Alfred Lumsdaine bought 10,000 shares at $8.81 per share ($88,100) in June 2026, representing modest but positive net insider buying during a period of stock price weakness and profitability pressure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Ardent's infrastructure reflects attractive valuation and steady growth offset by thin margins that are compressing further. Forward P/E of 7.68x scores at ceiling, reflecting deep value pricing for a $6.3B revenue hospital system [4]. D/E of 138% is elevated but within scoring range given $2.32B in debt against the equity base. ROE of 14.35% is just below the 15% target. Revenue growth has decelerated — Q1 2026 was +7% YoY but Q2 2026 fell to -1.4% YoY, blending to approximately 3% TTM growth [1]. Five-year revenue CAGR of 6.7% provides modest long-term growth. Profit margin of 2.15% is structurally thin for hospital operators and further deteriorated to 1.0% in Q2 2026 due to higher labor costs and payer pressures [1]. The profit margin drag is the primary weakness. Liquidity floor cleared: 490,000 avg daily volume x $11.16 = $5.47M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Ardent Health operates with a finite mindset typical of newly public hospital systems — optimizing for quarterly earnings guidance, managing margin pressure, and navigating a CEO transition. The Q2 2026 margin collapse to 1.0% and EPS miss highlight the short-term operational focus. The company's healthcare purpose is genuine but undifferentiated, and there is limited evidence of the kind of long-term, purpose-driven decision-making that Sinek would recognize as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Ardent's purpose — delivering healthcare to mid-sized urban communities that often lack adequate healthcare infrastructure — connects to a genuine cause extending beyond quarterly earnings [2]. The company's 25-year operating history demonstrates sustained commitment to community healthcare delivery. However, the mission is not distinctive among hospital operators, and the financial-returns framing ('performance, operational excellence') suggests the cause is secondary to financial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COO Dave Caspers to CEO suggests organizational stability and trust in internal talent development [2]. The company recovered from a significant 2023 cyberattack through coordinated organizational response. However, no specific employee engagement data, tenure metrics, or cultural practices indicating exceptional psychological safety were identified across the 23,000-employee, 30-hospital system where culture inevitably varies by facility.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Ardent competes against HCA Healthcare, Community Health Systems, and Tenet Healthcare but management commentary focuses on internal execution, admissions growth, and EBITDA targets rather than learning from larger rivals' operational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Ardent expanded from pure acute care hospital operations into urgent care centers across multiple states, and completed the 2024 IPO transition from private equity ownership to public markets [1][2]. These represent incremental strategic evolution rather than transformative reinvention — the core business of operating community hospitals in mid-sized markets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characterized 2026 as a 'digestion year' with EBITDA guidance of $485-535M potentially declining from FY2025's $545M, while Q2 2026 profit margin collapsed to 1.0% from 4.4% a year earlier [1]. While prudent, this reflects defensive near-term management rather than bold long-term investment. EPS of $0.12 in Q2 2026 missed the $0.18 estimate, and no evidence of leadership making costly long-term bets or sacrificing near-term results for future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Ardent Health trades at a deeply discounted 7.68x forward P/E with $6.32 billion in TTM revenue across 30 hospitals and 280 sites of care, offering deep value exposure to a resilient healthcare services business [1][4]. Q1 2026 showed encouraging momentum with revenue up 7% YoY and adjusted EBITDA up 26%, demonstrating that disciplined cost management can drive margin expansion [1]. New CEO Dave Caspers brings operational focus from his COO tenure, and insider buying by a director and CFO at $8.81 per share in June 2026 signals internal confidence at depressed valuations [3]. The healthcare delivery model is structurally protected from AI disruption, and the Inspire Impact Score of 45 (ALIGNED) with positive attributions for Data Security and Ethical Supply Chain Management confirms governance quality [2].</w:t>
      </w:r>
    </w:p>
    <w:p>
      <w:pPr>
        <w:spacing w:after="120"/>
      </w:pPr>
      <w:r>
        <w:rPr>
          <w:rFonts w:ascii="Calibri" w:hAnsi="Calibri"/>
          <w:b w:val="0"/>
          <w:color w:val="3A4A28"/>
          <w:sz w:val="20"/>
        </w:rPr>
        <w:t>The bear case centers on accelerating margin compression and execution risk. Q2 2026 profitability deteriorated sharply — profit margin fell to 1.0% from 4.4% in Q2 2025, EPS dropped to $0.12 from $0.52, missing the $0.18 consensus estimate as higher labor costs and payer pressures overwhelmed revenue [1]. Hospital operators face structural headwinds from rising professional fees (high-single-digit growth), nurse staffing shortages, payer mix pressure, and government reimbursement uncertainty. Revenue in Q2 declined 1.4% YoY, reversing Q1's 7% growth and raising questions about the sustainability of topline momentum. D/E of 138% represents meaningful leverage for a business generating only 2.15% net margins, leaving minimal buffer against further margin deterioration [4]. The CEO transition from Bonick to Caspers introduces execution risk during a challenging operating environment, and management's 'digestion year' framing signals that 2026 results will likely disappoint relative to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7.68x offers significant valuation upside if CEO Caspers stabilizes margins and executes operational excellence initiatives, with insider buying at $8.81 per share signaling internal confidence [3][4]</w:t>
      </w:r>
    </w:p>
    <w:p>
      <w:pPr>
        <w:spacing w:before="40" w:after="40"/>
        <w:ind w:left="283"/>
      </w:pPr>
      <w:r>
        <w:rPr>
          <w:rFonts w:ascii="Calibri" w:hAnsi="Calibri"/>
          <w:b/>
          <w:color w:val="4A6B25"/>
          <w:sz w:val="20"/>
        </w:rPr>
        <w:t xml:space="preserve">2. </w:t>
      </w:r>
      <w:r>
        <w:rPr>
          <w:rFonts w:ascii="Calibri" w:hAnsi="Calibri"/>
          <w:b w:val="0"/>
          <w:color w:val="3A4A28"/>
          <w:sz w:val="20"/>
        </w:rPr>
        <w:t>IMPACT technology initiative and AI-driven operational efficiencies — ambient documentation, virtual nursing, automated billing — could reduce the administrative cost burden compressing hospital margins in 2027 and beyond [2]</w:t>
      </w:r>
    </w:p>
    <w:p>
      <w:pPr>
        <w:spacing w:before="40" w:after="40"/>
        <w:ind w:left="283"/>
      </w:pPr>
      <w:r>
        <w:rPr>
          <w:rFonts w:ascii="Calibri" w:hAnsi="Calibri"/>
          <w:b/>
          <w:color w:val="4A6B25"/>
          <w:sz w:val="20"/>
        </w:rPr>
        <w:t xml:space="preserve">3. </w:t>
      </w:r>
      <w:r>
        <w:rPr>
          <w:rFonts w:ascii="Calibri" w:hAnsi="Calibri"/>
          <w:b w:val="0"/>
          <w:color w:val="3A4A28"/>
          <w:sz w:val="20"/>
        </w:rPr>
        <w:t>Potential recovery in admissions growth and margin normalization from the Q2 2026 trough, with guided revenue of $6.4-6.7B and EBITDA of $485-535M providing a baseline for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profit margin collapsed to 1.0% from 4.4% a year earlier, with EPS of $0.12 missing the $0.18 consensus, demonstrating that cost pressures are overwhelming revenue growth in the near term [1]</w:t>
      </w:r>
    </w:p>
    <w:p>
      <w:pPr>
        <w:spacing w:before="40" w:after="40"/>
        <w:ind w:left="283"/>
      </w:pPr>
      <w:r>
        <w:rPr>
          <w:rFonts w:ascii="Calibri" w:hAnsi="Calibri"/>
          <w:b/>
          <w:color w:val="4A6B25"/>
          <w:sz w:val="20"/>
        </w:rPr>
        <w:t xml:space="preserve">2. </w:t>
      </w:r>
      <w:r>
        <w:rPr>
          <w:rFonts w:ascii="Calibri" w:hAnsi="Calibri"/>
          <w:b w:val="0"/>
          <w:color w:val="3A4A28"/>
          <w:sz w:val="20"/>
        </w:rPr>
        <w:t>D/E of 138% with $2.32B in debt creates leverage risk for a business generating only 2.15% net margins — sustained margin decline could trigger covenant concerns or credit downgrades [4]</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Bonick to Caspers during the most challenging margin environment since the IPO introduces execution risk, with no track record for the new CEO in the top role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Hospital-based healthcare delivery is structurally protected from AI disruption — surgeries, emergency care, inpatient treatment, and physical rehabilitation require human clinicians, physical facilities, and hands-on patient interaction that AI cannot replace [1]. Regulatory barriers (state licensing, CMS requirements, HIPAA compliance, accreditation) create additional moats against AI-native entrants. However, AI is transforming administrative functions (billing, coding, prior authorization, scheduling) and clinical decision support, and competitors who adopt AI faster may achieve meaningful cost advantages. AI-enabled shifts toward outpatient monitoring and remote diagnostics could gradually reduce inpatient admissions. Ardent's appointment of a chief data officer and deployment of Ambience ambient documentation shows proactive awareness [2]. AI Opportunity (0/1): No quantified AI revenue or revenue-generating AI products. AI investments are deployed operationally (ambient documentation, virtual nursing, data analytics) for internal efficiency rather than external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Ardent Health Q1 2026 and Q2 2026 Earnings Releases — Q1 revenue $1.60B (+7% YoY), Q2 revenue $1.62B (-1.4% YoY), Q2 EPS $0.12 vs $0.18 estimate, Q2 profit margin 1.0%, FY2026 guidance $6.4-6.7B revenue, $485-535M EBITDA, SEC filings 2026</w:t>
      </w:r>
    </w:p>
    <w:p>
      <w:pPr>
        <w:spacing w:before="20" w:after="20"/>
        <w:ind w:left="170"/>
      </w:pPr>
      <w:r>
        <w:rPr>
          <w:rFonts w:ascii="Calibri" w:hAnsi="Calibri"/>
          <w:b/>
          <w:color w:val="4A6B25"/>
          <w:sz w:val="15"/>
        </w:rPr>
        <w:t xml:space="preserve">2. </w:t>
      </w:r>
      <w:r>
        <w:rPr>
          <w:rFonts w:ascii="Calibri" w:hAnsi="Calibri"/>
          <w:b w:val="0"/>
          <w:color w:val="3A4A28"/>
          <w:sz w:val="17"/>
        </w:rPr>
        <w:t>Chief Healthcare Executive, Ardent Health Website, and ViVE 2025 Coverage — CEO Dave Caspers appointment from COO, CDO appointment for AI/data science, Ambience ambient documentation, virtual nursing deployment, cyberattack recovery, 2025-2026</w:t>
      </w:r>
    </w:p>
    <w:p>
      <w:pPr>
        <w:spacing w:before="20" w:after="20"/>
        <w:ind w:left="170"/>
      </w:pPr>
      <w:r>
        <w:rPr>
          <w:rFonts w:ascii="Calibri" w:hAnsi="Calibri"/>
          <w:b/>
          <w:color w:val="4A6B25"/>
          <w:sz w:val="15"/>
        </w:rPr>
        <w:t xml:space="preserve">3. </w:t>
      </w:r>
      <w:r>
        <w:rPr>
          <w:rFonts w:ascii="Calibri" w:hAnsi="Calibri"/>
          <w:b w:val="0"/>
          <w:color w:val="3A4A28"/>
          <w:sz w:val="17"/>
        </w:rPr>
        <w:t>SEC Form 4 Insider Transaction Filings — Director DeMichiei 11,260 shares purchased, CFO Lumsdaine 10,000 shares at $8.81 ($88,100),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financial data for ARDT — PE 9.02, Forward PE 7.68, D/E 138%, ROE 14.35%, revenue TTM $6.32B, $2.32B debt, $712M cash, avg volume 490K,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