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ARE</w:t>
      </w:r>
      <w:r>
        <w:rPr>
          <w:rFonts w:ascii="Calibri" w:hAnsi="Calibri"/>
          <w:b/>
          <w:color w:val="1A2010"/>
          <w:sz w:val="40"/>
        </w:rPr>
        <w:t xml:space="preserve">  Alexandria Real Estate Equities, Inc.</w:t>
      </w:r>
    </w:p>
    <w:p>
      <w:pPr>
        <w:spacing w:after="120"/>
      </w:pPr>
      <w:r>
        <w:rPr>
          <w:rFonts w:ascii="Calibri" w:hAnsi="Calibri"/>
          <w:b/>
          <w:color w:val="6E8450"/>
          <w:sz w:val="18"/>
        </w:rPr>
        <w:t>DIVIDEND SLEEVE · 2026-07-12 · Inspire: 80 · INFINITE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FFF8E1" w:val="clear"/>
          </w:tcPr>
          <w:p>
            <w:pPr>
              <w:spacing w:before="40" w:after="40"/>
              <w:jc w:val="center"/>
            </w:pPr>
            <w:r>
              <w:rPr>
                <w:rFonts w:ascii="Calibri" w:hAnsi="Calibri"/>
                <w:b/>
                <w:color w:val="D97706"/>
                <w:sz w:val="20"/>
              </w:rPr>
              <w:t>HOLD</w:t>
            </w:r>
          </w:p>
        </w:tc>
      </w:tr>
    </w:tbl>
    <w:p>
      <w:pPr>
        <w:spacing w:before="120" w:after="200"/>
      </w:pPr>
      <w:r>
        <w:rPr>
          <w:rFonts w:ascii="Calibri" w:hAnsi="Calibri"/>
          <w:b/>
          <w:color w:val="1A2010"/>
          <w:sz w:val="80"/>
        </w:rPr>
        <w:t>74</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Real Estate · REIT - Office · NYSE · United States</w:t>
      </w:r>
    </w:p>
    <w:p>
      <w:pPr>
        <w:spacing w:after="80"/>
      </w:pPr>
      <w:r>
        <w:rPr>
          <w:rFonts w:ascii="Calibri" w:hAnsi="Calibri"/>
          <w:b w:val="0"/>
          <w:color w:val="3A4A28"/>
          <w:sz w:val="20"/>
        </w:rPr>
        <w:t>Alexandria Real Estate Equities, Inc. is an S&amp;P 500 real estate investment trust (REIT) and the preeminent owner, operator, and developer of collaborative life science, agri-tech, and advanced technology Megacampus ecosystems in AAA innovation cluster locations. The company's 41.7 million RSF portfolio serves the world's leading pharmaceutical, biotech, and technology companies. Alexandria Venture Investments is among the most active early-stage life science investors. Founded in 1994 by Joel S. Marcus, headquartered in Pasadena, California.</w:t>
      </w:r>
    </w:p>
    <w:p>
      <w:r>
        <w:rPr>
          <w:rFonts w:ascii="Calibri" w:hAnsi="Calibri"/>
          <w:b/>
          <w:color w:val="6E8450"/>
          <w:sz w:val="18"/>
        </w:rPr>
        <w:t>600 Employees · https://www.are.com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(3/3): Alexandria pioneered the commercial life science real estate category 32 years ago, creating an entirely new asset class that did not previously exist [3]. The Megacampus ecosystem model — purpose-built collaborative environments integrating lab space, office, amenities, and venture investment — represents a business model innovation that no competitor has fully replicated. Alexandria Venture Investments has become one of the most active early-stage life science investors, creating a unique landlord-investor-ecosystem builder model. AI Deployment (0/2): ARE is a REIT, not a technology company. While ranked 16th in the S&amp;P 500 for AI readiness by the Wall Street Journal's 'Best Companies for the Future' assessment, this reflects organizational preparedness rather than AI product revenue [3]. No AI products are shipping or AI-driven revenue gains quantified. Market Share (2/2): Alexandria is the largest and longest-tenured owner, operator, and developer uniquely focused on life science real estate, with dominant positions in Boston/Cambridge, San Francisco Bay Area, San Diego, Seattle, and New York City innovation clusters [3]. The Megacampus model with 41.7M RSF creates an irreplaceable portfolio. Product Pipeline (1/2): Current development pipeline exists but is being rationalized — $2.9B in projected dispositions planned for 2026, with the company shifting toward balance sheet optimization rather than expansion [1][2]. R&amp;D Intensity (0/1): Not applicable for a REIT. Innovation comes through campus development and venture investing rather than traditional R&amp;D.</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9</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961"/>
            <w:shd w:fill="16A34A" w:val="clear"/>
          </w:tcPr>
          <w:p>
            <w:pPr>
              <w:spacing w:before="0" w:after="0"/>
            </w:pPr>
            <w:r>
              <w:rPr>
                <w:rFonts w:ascii="Calibri" w:hAnsi="Calibri"/>
                <w:b w:val="0"/>
                <w:color w:val="1A2010"/>
                <w:sz w:val="4"/>
              </w:rPr>
            </w:r>
          </w:p>
        </w:tc>
        <w:tc>
          <w:tcPr>
            <w:tcW w:type="dxa" w:w="551"/>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(4/4): Alexandria's purpose of 'Building the Future of Life Science' — advancing human health by creating purpose-built ecosystems where the world's most important biotech and pharmaceutical companies can collaborate — has been validated by 32 years of unwavering execution [3]. Joel Marcus founded the company on this vision in 1994 and continues as Executive Chairman, personally guiding it through multiple market cycles. The mission IS the competitive advantage: no other REIT has replicated Alexandria's ecosystem model because it requires decades of relationship-building, venture investment, and life science expertise. Community Impact (1/2): Alexandria Venture Investments has actively invested in hundreds of disruptive life science companies advancing new modalities and medicines, representing a unique form of community impact where the landlord-investor model directly accelerates drug development and healthcare innovation [3]. This is business-aligned rather than pure philanthropy but creates genuine societal benefit. Employee Retention (2/2): Executive management team averages 15 years of experience with the company, reflecting exceptional retention for a 600-person organization [3]. Marcus's founding vision and 'egoless' leadership culture attract and retain mission-driven talent. The Wall Street Journal ranked Alexandria 16th in the S&amp;P 500 for talent readiness, and the company was recognized among the 'Best Companies for the Future' [3]. Insider Buying (2/2): $1.81M in insider purchases over the past 90 days, including Executive Chairman Joel Marcus buying 7,500 shares at $42.72 on May 5, 2026 ($320,400), during a period of stock price weakness and dividend reduction [4]. Buying during adversity is the strongest signal of insider conviction.</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scored on available metrics. Alexandria faces a challenging financial transition: 2025 full year FFO was $9.01/share (as adjusted), but 2026 guidance projects a trough at approximately $6.40/share midpoint due to $2.9B in planned dispositions and lease expirations [1][2]. The 45% dividend cut to $2.88/share ($0.72/quarter) is necessary to preserve financial flexibility but resets consecutive years of growth to zero. Q1 2026 revenue of $671M was down 11.5% YoY [2]. D/E of 79.57% is near the 70% target, and the company maintains $4.17B of liquidity with weighted-average remaining debt term of 10 years [2]. However, GAAP ROE of -5.86% reflects impairment charges, and the forward P/E of 47.50 (on GAAP earnings depressed by REIT depreciation and write-downs) is well above the 20 target. The 30-year dividend payment streak remains intact despite the cut, providing some floor for dividend scoring [4].</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16A34A"/>
          <w:sz w:val="22"/>
        </w:rPr>
        <w:t>INFINITE</w:t>
      </w:r>
      <w:r>
        <w:rPr>
          <w:rFonts w:ascii="Calibri" w:hAnsi="Calibri"/>
          <w:b w:val="0"/>
          <w:color w:val="6E8450"/>
          <w:sz w:val="22"/>
        </w:rPr>
        <w:t xml:space="preserve">      Overall: </w:t>
      </w:r>
      <w:r>
        <w:rPr>
          <w:rFonts w:ascii="Calibri" w:hAnsi="Calibri"/>
          <w:b/>
          <w:color w:val="16A34A"/>
          <w:sz w:val="28"/>
        </w:rPr>
        <w:t>8</w:t>
      </w:r>
      <w:r>
        <w:rPr>
          <w:rFonts w:ascii="Calibri" w:hAnsi="Calibri"/>
          <w:b w:val="0"/>
          <w:color w:val="9DAF88"/>
          <w:sz w:val="18"/>
        </w:rPr>
        <w:t xml:space="preserve"> /10</w:t>
      </w:r>
    </w:p>
    <w:p>
      <w:pPr>
        <w:spacing w:after="120"/>
      </w:pPr>
      <w:r>
        <w:rPr>
          <w:rFonts w:ascii="Calibri" w:hAnsi="Calibri"/>
          <w:b w:val="0"/>
          <w:color w:val="3A4A28"/>
          <w:sz w:val="18"/>
        </w:rPr>
        <w:t>Alexandria Real Estate under Joel Marcus's 32-year stewardship is one of the strongest infinite game players in the REIT sector. Marcus founded the company on a Just Cause — advancing human health through life science infrastructure — and has held to it through the dot-com crash, the 2008 financial crisis, the pandemic, and the current biotech funding downturn. The 45% dividend cut in service of long-term financial positioning, the executive team's 15-year average tenure, and Marcus's personal share purchases during adversity all demonstrate deeply infinite thinking. Sinek would identify Alexandria as a company whose purpose IS its competitive moat.</w:t>
      </w:r>
    </w:p>
    <w:p>
      <w:pPr>
        <w:spacing w:before="200" w:after="40"/>
      </w:pPr>
      <w:r>
        <w:rPr>
          <w:rFonts w:ascii="Calibri" w:hAnsi="Calibri"/>
          <w:b/>
          <w:color w:val="1A2010"/>
          <w:sz w:val="22"/>
        </w:rPr>
        <w:t>Just Cause</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(3/3): Joel Marcus founded Alexandria in 1994 on the vision that purpose-built life science campuses would accelerate drug discovery and advance human health [3]. That cause has been validated by 32 years of consistent execution through multiple market crises — the dot-com collapse, the 2008 financial crisis, the biotech funding downturn, and the current real estate headwinds. Strategic decisions clearly trace to this purpose: investing in venture-stage life science companies, building collaborative Megacampus ecosystems rather than generic office buildings, and focusing exclusively on AAA innovation clusters where scientific collaboration thrives. The purpose survived and strengthened through adversity. Sinek would cite Alexandria as an exemplar of how a Just Cause becomes a competitive advantage.</w:t>
      </w:r>
    </w:p>
    <w:p>
      <w:pPr>
        <w:spacing w:before="200" w:after="40"/>
      </w:pPr>
      <w:r>
        <w:rPr>
          <w:rFonts w:ascii="Calibri" w:hAnsi="Calibri"/>
          <w:b/>
          <w:color w:val="1A2010"/>
          <w:sz w:val="22"/>
        </w:rPr>
        <w:t>Trusting Teams</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(2/2): Alexandria's executive management team averages 15 years of tenure — exceptional for a company of any size, and particularly notable for a 600-person organization where each individual has significant impact [3]. Marcus's 'egoless' leadership philosophy creates a culture of 'idea meritocracy and operational excellence.' The Wall Street Journal ranked Alexandria 16th in the entire S&amp;P 500 for talent readiness, reflecting organizational capability that comes from deep institutional trust [3]. People stay because they believe in the mission and feel trusted to contribute meaningfully.</w:t>
      </w:r>
    </w:p>
    <w:p>
      <w:pPr>
        <w:spacing w:before="200" w:after="40"/>
      </w:pPr>
      <w:r>
        <w:rPr>
          <w:rFonts w:ascii="Calibri" w:hAnsi="Calibri"/>
          <w:b/>
          <w:color w:val="1A2010"/>
          <w:sz w:val="22"/>
        </w:rPr>
        <w:t>Worthy Rivals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(0/1): Alexandria operates in a niche it created — there are few true competitors in purpose-built life science Megacampus development. The company's language emphasizes its pioneering leadership and preeminent position rather than acknowledging what it can learn from competitors like Boston Properties, BioMed Realty (Blackstone), or Healthpeak [3]. The competitive posture, while earned by decades of execution, is more about dominance than mutual improvement.</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(1/2): The current strategic pivot — cutting the dividend by 45%, executing $2.9B in dispositions, and deleveraging the balance sheet — demonstrates willingness to sacrifice current returns for long-term financial positioning [1][2]. This is painful and unpopular with income investors, but management chose financial durability over maintaining the dividend narrative. However, this is defensive restructuring rather than a transformative reinvention of the business model. Alexandria's core model of owning and operating life science campuses has remained fundamentally the same since 1994.</w:t>
      </w:r>
    </w:p>
    <w:p>
      <w:pPr>
        <w:spacing w:before="200" w:after="40"/>
      </w:pPr>
      <w:r>
        <w:rPr>
          <w:rFonts w:ascii="Calibri" w:hAnsi="Calibri"/>
          <w:b/>
          <w:color w:val="1A2010"/>
          <w:sz w:val="22"/>
        </w:rPr>
        <w:t>Courage To Lead</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(2/2): Alexandria's decision to cut the dividend by 45% in service of long-term balance sheet strength is a textbook example of Sinek's courage — choosing right over easy when the cost is real [1]. Management is executing $2.9B in asset dispositions to reduce leverage, even though it compresses near-term FFO from $9.01/share to approximately $6.40/share. Joel Marcus personally purchased shares at $42.72 during the stock's downturn, with $1.81M in total insider buying over 90 days [4]. This combination — accepting a painful dividend cut, selling assets to strengthen the balance sheet, and buying shares personally during adversity — represents genuine leadership courage under pressure.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Alexandria Real Estate Equities is the irreplaceable franchise in life science real estate — 32 years of pioneering execution, 41.7M RSF of purpose-built Megacampus ecosystems in AAA innovation clusters, and a venture investment platform that deepens tenant relationships and creates proprietary deal flow [3]. The current share price of $47.88 reflects a trough year: FFO guidance of $6.40/share (down from $9.01 in 2025) due to $2.9B in planned dispositions, but this is a deliberate strategy to strengthen the balance sheet with $4.17B of liquidity and a 10-year weighted average debt term [1][2]. At 7.5x P/FFO, the stock is pricing in severe distress for a company with 30 consecutive years of dividend payments and 90.9% occupancy. Executive Chairman Marcus's personal purchases during the downturn signal management conviction in the recovery. The 5.78% dividend yield on the reduced payout provides income support while waiting for earnings normalization in 2027-2028.</w:t>
      </w:r>
    </w:p>
    <w:p>
      <w:pPr>
        <w:spacing w:after="120"/>
      </w:pPr>
      <w:r>
        <w:rPr>
          <w:rFonts w:ascii="Calibri" w:hAnsi="Calibri"/>
          <w:b w:val="0"/>
          <w:color w:val="3A4A28"/>
          <w:sz w:val="20"/>
        </w:rPr>
        <w:t>The bear case is real and reflects both cyclical and structural headwinds. Revenue declined 11.5% YoY in Q1 2026, the 45% dividend cut signals financial stress, and GAAP ROE of -5.86% includes meaningful impairment charges that question historical asset valuations [1][5]. The biotech funding environment — Alexandria's primary demand driver — remains uncertain, with venture capital deployment to life science companies running below 2021 peak levels. Occupancy of 90.9% is below the company's historical 95%+ norm, and the first half of 2026 faces additional lease expirations and tenant wind-downs. The forward P/E of 47.50 on GAAP earnings (depressed by REIT depreciation and write-downs) makes traditional valuation comparison difficult, and the negative profit margin of -12% reflects accounting realities that mask operational performance. Infrastructure scoring penalizes ARE under the GAAP-based framework, though FFO-based metrics are more appropriate for REIT valuation.</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Completion of $2.9B asset disposition program by August 2026 (weighted-average date), deleveraging the balance sheet and creating capacity for selective high-return development once leasing conditions improve</w:t>
      </w:r>
    </w:p>
    <w:p>
      <w:pPr>
        <w:spacing w:before="40" w:after="40"/>
        <w:ind w:left="283"/>
      </w:pPr>
      <w:r>
        <w:rPr>
          <w:rFonts w:ascii="Calibri" w:hAnsi="Calibri"/>
          <w:b/>
          <w:color w:val="4A6B25"/>
          <w:sz w:val="20"/>
        </w:rPr>
        <w:t xml:space="preserve">2. </w:t>
      </w:r>
      <w:r>
        <w:rPr>
          <w:rFonts w:ascii="Calibri" w:hAnsi="Calibri"/>
          <w:b w:val="0"/>
          <w:color w:val="3A4A28"/>
          <w:sz w:val="20"/>
        </w:rPr>
        <w:t>Occupancy recovery toward 95%+ through second-half 2026 lease-up of vacant space, with 647K SF leased in Q1 and 900K SF expected in Q2, stabilizing FFO trajectory for 2027</w:t>
      </w:r>
    </w:p>
    <w:p>
      <w:pPr>
        <w:spacing w:before="40" w:after="40"/>
        <w:ind w:left="283"/>
      </w:pPr>
      <w:r>
        <w:rPr>
          <w:rFonts w:ascii="Calibri" w:hAnsi="Calibri"/>
          <w:b/>
          <w:color w:val="4A6B25"/>
          <w:sz w:val="20"/>
        </w:rPr>
        <w:t xml:space="preserve">3. </w:t>
      </w:r>
      <w:r>
        <w:rPr>
          <w:rFonts w:ascii="Calibri" w:hAnsi="Calibri"/>
          <w:b w:val="0"/>
          <w:color w:val="3A4A28"/>
          <w:sz w:val="20"/>
        </w:rPr>
        <w:t>AI-driven life science demand — computational biology, AI-enabled drug discovery, and precision medicine companies requiring purpose-built wet lab and computational space that only Megacampus ecosystems can provide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Biotech funding environment remains below 2021 peaks, constraining tenant expansion and new lease demand — if venture capital deployment to life science continues to decline, occupancy recovery stalls</w:t>
      </w:r>
    </w:p>
    <w:p>
      <w:pPr>
        <w:spacing w:before="40" w:after="40"/>
        <w:ind w:left="283"/>
      </w:pPr>
      <w:r>
        <w:rPr>
          <w:rFonts w:ascii="Calibri" w:hAnsi="Calibri"/>
          <w:b/>
          <w:color w:val="4A6B25"/>
          <w:sz w:val="20"/>
        </w:rPr>
        <w:t xml:space="preserve">2. </w:t>
      </w:r>
      <w:r>
        <w:rPr>
          <w:rFonts w:ascii="Calibri" w:hAnsi="Calibri"/>
          <w:b w:val="0"/>
          <w:color w:val="3A4A28"/>
          <w:sz w:val="20"/>
        </w:rPr>
        <w:t>The 45% dividend cut and negative GAAP ROE of -5.86% signal financial stress that could persist if the $2.9B disposition program takes longer than expected or achieves below-target pricing</w:t>
      </w:r>
    </w:p>
    <w:p>
      <w:pPr>
        <w:spacing w:before="40" w:after="40"/>
        <w:ind w:left="283"/>
      </w:pPr>
      <w:r>
        <w:rPr>
          <w:rFonts w:ascii="Calibri" w:hAnsi="Calibri"/>
          <w:b/>
          <w:color w:val="4A6B25"/>
          <w:sz w:val="20"/>
        </w:rPr>
        <w:t xml:space="preserve">3. </w:t>
      </w:r>
      <w:r>
        <w:rPr>
          <w:rFonts w:ascii="Calibri" w:hAnsi="Calibri"/>
          <w:b w:val="0"/>
          <w:color w:val="3A4A28"/>
          <w:sz w:val="20"/>
        </w:rPr>
        <w:t>Forward P/E of 47.50 on GAAP earnings and -12% profit margin make the stock screen poorly in quantitative frameworks despite operational metrics (FFO, occupancy, leasing) that are stabilizing</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16A34A"/>
          <w:sz w:val="16"/>
        </w:rPr>
        <w:t xml:space="preserve"> LOW RISK </w:t>
      </w:r>
    </w:p>
    <w:p>
      <w:pPr>
        <w:spacing w:before="0" w:after="40"/>
      </w:pPr>
      <w:r>
        <w:rPr>
          <w:rFonts w:ascii="Calibri" w:hAnsi="Calibri"/>
          <w:b/>
          <w:color w:val="16A34A"/>
          <w:sz w:val="28"/>
        </w:rPr>
        <w:t>9</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961"/>
            <w:shd w:fill="16A34A" w:val="clear"/>
          </w:tcPr>
          <w:p>
            <w:pPr>
              <w:spacing w:before="0" w:after="0"/>
            </w:pPr>
            <w:r>
              <w:rPr>
                <w:rFonts w:ascii="Calibri" w:hAnsi="Calibri"/>
                <w:b w:val="0"/>
                <w:color w:val="1A2010"/>
                <w:sz w:val="4"/>
              </w:rPr>
            </w:r>
          </w:p>
        </w:tc>
        <w:tc>
          <w:tcPr>
            <w:tcW w:type="dxa" w:w="551"/>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(9/9): Alexandria owns and operates physical real estate — purpose-built laboratory and office campuses in irreplaceable AAA life science innovation cluster locations [3]. AI fundamentally cannot displace physical buildings; it requires them. The life science tenants who occupy Alexandria's Megacampuses (pharmaceutical, biotech, and agri-tech companies) need physical wet labs, clean rooms, and collaborative spaces that cannot be virtualized regardless of AI advancement. Furthermore, AI is a demand catalyst for Alexandria's business: AI-driven drug discovery, computational biology, and precision medicine companies require increasingly sophisticated lab environments, driving demand for exactly the kind of purpose-built space Alexandria provides. The biotech/pharma industry's AI adoption is accelerating, creating new tenant demand from AI-native life science startups. AI Opportunity (0/1): Alexandria does not generate revenue from AI products. The company benefits indirectly as a landlord to AI-driven tenants but does not sell AI technology or services.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80</w:t>
      </w:r>
      <w:r>
        <w:rPr>
          <w:rFonts w:ascii="Calibri" w:hAnsi="Calibri"/>
          <w:b/>
          <w:color w:val="B8860B"/>
          <w:sz w:val="20"/>
        </w:rPr>
        <w:t xml:space="preserve">    ALIGNED</w:t>
      </w:r>
    </w:p>
    <w:p>
      <w:pPr>
        <w:spacing w:before="80" w:after="40"/>
      </w:pPr>
      <w:r>
        <w:rPr>
          <w:rFonts w:ascii="Calibri" w:hAnsi="Calibri"/>
          <w:b/>
          <w:color w:val="6E8450"/>
          <w:sz w:val="18"/>
        </w:rPr>
        <w:t xml:space="preserve">Positive: </w:t>
      </w:r>
      <w:r>
        <w:rPr>
          <w:rFonts w:ascii="Calibri" w:hAnsi="Calibri"/>
          <w:b/>
          <w:color w:val="16A34A"/>
          <w:sz w:val="17"/>
        </w:rPr>
        <w:t xml:space="preserve"> Business Resilience </w:t>
      </w:r>
      <w:r>
        <w:rPr>
          <w:rFonts w:ascii="Calibri" w:hAnsi="Calibri"/>
          <w:b w:val="0"/>
          <w:color w:val="9DAF88"/>
          <w:sz w:val="17"/>
        </w:rPr>
        <w:t xml:space="preserve">  ·  </w:t>
      </w:r>
      <w:r>
        <w:rPr>
          <w:rFonts w:ascii="Calibri" w:hAnsi="Calibri"/>
          <w:b/>
          <w:color w:val="16A34A"/>
          <w:sz w:val="17"/>
        </w:rPr>
        <w:t xml:space="preserve"> Customer Welfare </w:t>
      </w:r>
      <w:r>
        <w:rPr>
          <w:rFonts w:ascii="Calibri" w:hAnsi="Calibri"/>
          <w:b w:val="0"/>
          <w:color w:val="9DAF88"/>
          <w:sz w:val="17"/>
        </w:rPr>
        <w:t xml:space="preserve">  ·  </w:t>
      </w:r>
      <w:r>
        <w:rPr>
          <w:rFonts w:ascii="Calibri" w:hAnsi="Calibri"/>
          <w:b/>
          <w:color w:val="16A34A"/>
          <w:sz w:val="17"/>
        </w:rPr>
        <w:t xml:space="preserve"> Data Security </w:t>
      </w:r>
      <w:r>
        <w:rPr>
          <w:rFonts w:ascii="Calibri" w:hAnsi="Calibri"/>
          <w:b w:val="0"/>
          <w:color w:val="9DAF88"/>
          <w:sz w:val="17"/>
        </w:rPr>
        <w:t xml:space="preserve">  ·  </w:t>
      </w:r>
      <w:r>
        <w:rPr>
          <w:rFonts w:ascii="Calibri" w:hAnsi="Calibri"/>
          <w:b/>
          <w:color w:val="16A34A"/>
          <w:sz w:val="17"/>
        </w:rPr>
        <w:t xml:space="preserve"> Employee Wellbeing </w:t>
      </w:r>
      <w:r>
        <w:rPr>
          <w:rFonts w:ascii="Calibri" w:hAnsi="Calibri"/>
          <w:b w:val="0"/>
          <w:color w:val="9DAF88"/>
          <w:sz w:val="17"/>
        </w:rPr>
        <w:t xml:space="preserve">  ·  </w:t>
      </w:r>
      <w:r>
        <w:rPr>
          <w:rFonts w:ascii="Calibri" w:hAnsi="Calibri"/>
          <w:b/>
          <w:color w:val="16A34A"/>
          <w:sz w:val="17"/>
        </w:rPr>
        <w:t xml:space="preserve"> Energy Management </w:t>
      </w:r>
      <w:r>
        <w:rPr>
          <w:rFonts w:ascii="Calibri" w:hAnsi="Calibri"/>
          <w:b w:val="0"/>
          <w:color w:val="9DAF88"/>
          <w:sz w:val="17"/>
        </w:rPr>
        <w:t xml:space="preserve">  ·  </w:t>
      </w:r>
      <w:r>
        <w:rPr>
          <w:rFonts w:ascii="Calibri" w:hAnsi="Calibri"/>
          <w:b/>
          <w:color w:val="16A34A"/>
          <w:sz w:val="17"/>
        </w:rPr>
        <w:t xml:space="preserve"> Environmental Risk Mitigation </w:t>
      </w:r>
      <w:r>
        <w:rPr>
          <w:rFonts w:ascii="Calibri" w:hAnsi="Calibri"/>
          <w:b w:val="0"/>
          <w:color w:val="9DAF88"/>
          <w:sz w:val="17"/>
        </w:rPr>
        <w:t xml:space="preserve">  ·  </w:t>
      </w:r>
      <w:r>
        <w:rPr>
          <w:rFonts w:ascii="Calibri" w:hAnsi="Calibri"/>
          <w:b/>
          <w:color w:val="16A34A"/>
          <w:sz w:val="17"/>
        </w:rPr>
        <w:t xml:space="preserve"> Ethical Labor Practices </w:t>
      </w:r>
      <w:r>
        <w:rPr>
          <w:rFonts w:ascii="Calibri" w:hAnsi="Calibri"/>
          <w:b w:val="0"/>
          <w:color w:val="9DAF88"/>
          <w:sz w:val="17"/>
        </w:rPr>
        <w:t xml:space="preserve">  ·  </w:t>
      </w:r>
      <w:r>
        <w:rPr>
          <w:rFonts w:ascii="Calibri" w:hAnsi="Calibri"/>
          <w:b/>
          <w:color w:val="16A34A"/>
          <w:sz w:val="17"/>
        </w:rPr>
        <w:t xml:space="preserve"> Ethical Sales Practices </w:t>
      </w:r>
      <w:r>
        <w:rPr>
          <w:rFonts w:ascii="Calibri" w:hAnsi="Calibri"/>
          <w:b w:val="0"/>
          <w:color w:val="9DAF88"/>
          <w:sz w:val="17"/>
        </w:rPr>
        <w:t xml:space="preserve">  ·  </w:t>
      </w:r>
      <w:r>
        <w:rPr>
          <w:rFonts w:ascii="Calibri" w:hAnsi="Calibri"/>
          <w:b/>
          <w:color w:val="16A34A"/>
          <w:sz w:val="17"/>
        </w:rPr>
        <w:t xml:space="preserve"> Ethical Supply Chain Management </w:t>
      </w:r>
      <w:r>
        <w:rPr>
          <w:rFonts w:ascii="Calibri" w:hAnsi="Calibri"/>
          <w:b w:val="0"/>
          <w:color w:val="9DAF88"/>
          <w:sz w:val="17"/>
        </w:rPr>
        <w:t xml:space="preserve">  ·  </w:t>
      </w:r>
      <w:r>
        <w:rPr>
          <w:rFonts w:ascii="Calibri" w:hAnsi="Calibri"/>
          <w:b/>
          <w:color w:val="16A34A"/>
          <w:sz w:val="17"/>
        </w:rPr>
        <w:t xml:space="preserve"> GHG Emissions </w:t>
      </w:r>
      <w:r>
        <w:rPr>
          <w:rFonts w:ascii="Calibri" w:hAnsi="Calibri"/>
          <w:b w:val="0"/>
          <w:color w:val="9DAF88"/>
          <w:sz w:val="17"/>
        </w:rPr>
        <w:t xml:space="preserve">  ·  </w:t>
      </w:r>
      <w:r>
        <w:rPr>
          <w:rFonts w:ascii="Calibri" w:hAnsi="Calibri"/>
          <w:b/>
          <w:color w:val="16A34A"/>
          <w:sz w:val="17"/>
        </w:rPr>
        <w:t xml:space="preserve"> Hiring Ethics </w:t>
      </w:r>
      <w:r>
        <w:rPr>
          <w:rFonts w:ascii="Calibri" w:hAnsi="Calibri"/>
          <w:b w:val="0"/>
          <w:color w:val="9DAF88"/>
          <w:sz w:val="17"/>
        </w:rPr>
        <w:t xml:space="preserve">  ·  </w:t>
      </w:r>
      <w:r>
        <w:rPr>
          <w:rFonts w:ascii="Calibri" w:hAnsi="Calibri"/>
          <w:b/>
          <w:color w:val="16A34A"/>
          <w:sz w:val="17"/>
        </w:rPr>
        <w:t xml:space="preserve"> Low Ecological Impact </w:t>
      </w:r>
      <w:r>
        <w:rPr>
          <w:rFonts w:ascii="Calibri" w:hAnsi="Calibri"/>
          <w:b w:val="0"/>
          <w:color w:val="9DAF88"/>
          <w:sz w:val="17"/>
        </w:rPr>
        <w:t xml:space="preserve">  ·  </w:t>
      </w:r>
      <w:r>
        <w:rPr>
          <w:rFonts w:ascii="Calibri" w:hAnsi="Calibri"/>
          <w:b/>
          <w:color w:val="16A34A"/>
          <w:sz w:val="17"/>
        </w:rPr>
        <w:t xml:space="preserve"> Product Access and Affordability </w:t>
      </w:r>
      <w:r>
        <w:rPr>
          <w:rFonts w:ascii="Calibri" w:hAnsi="Calibri"/>
          <w:b w:val="0"/>
          <w:color w:val="9DAF88"/>
          <w:sz w:val="17"/>
        </w:rPr>
        <w:t xml:space="preserve">  ·  </w:t>
      </w:r>
      <w:r>
        <w:rPr>
          <w:rFonts w:ascii="Calibri" w:hAnsi="Calibri"/>
          <w:b/>
          <w:color w:val="16A34A"/>
          <w:sz w:val="17"/>
        </w:rPr>
        <w:t xml:space="preserve"> Product Sustainability </w:t>
      </w:r>
      <w:r>
        <w:rPr>
          <w:rFonts w:ascii="Calibri" w:hAnsi="Calibri"/>
          <w:b w:val="0"/>
          <w:color w:val="9DAF88"/>
          <w:sz w:val="17"/>
        </w:rPr>
        <w:t xml:space="preserve">  ·  </w:t>
      </w:r>
      <w:r>
        <w:rPr>
          <w:rFonts w:ascii="Calibri" w:hAnsi="Calibri"/>
          <w:b/>
          <w:color w:val="16A34A"/>
          <w:sz w:val="17"/>
        </w:rPr>
        <w:t xml:space="preserve"> Regulatory Adherence </w:t>
      </w:r>
      <w:r>
        <w:rPr>
          <w:rFonts w:ascii="Calibri" w:hAnsi="Calibri"/>
          <w:b w:val="0"/>
          <w:color w:val="9DAF88"/>
          <w:sz w:val="17"/>
        </w:rPr>
        <w:t xml:space="preserve">  ·  </w:t>
      </w:r>
      <w:r>
        <w:rPr>
          <w:rFonts w:ascii="Calibri" w:hAnsi="Calibri"/>
          <w:b/>
          <w:color w:val="16A34A"/>
          <w:sz w:val="17"/>
        </w:rPr>
        <w:t xml:space="preserve"> Water Conservation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Alexandria Real Estate Equities Q4 2025 and Full Year 2025 Results — PRNewswire, April 2026</w:t>
      </w:r>
    </w:p>
    <w:p>
      <w:pPr>
        <w:spacing w:before="20" w:after="20"/>
        <w:ind w:left="170"/>
      </w:pPr>
      <w:r>
        <w:rPr>
          <w:rFonts w:ascii="Calibri" w:hAnsi="Calibri"/>
          <w:b/>
          <w:color w:val="4A6B25"/>
          <w:sz w:val="15"/>
        </w:rPr>
        <w:t xml:space="preserve">2. </w:t>
      </w:r>
      <w:r>
        <w:rPr>
          <w:rFonts w:ascii="Calibri" w:hAnsi="Calibri"/>
          <w:b w:val="0"/>
          <w:color w:val="3A4A28"/>
          <w:sz w:val="17"/>
        </w:rPr>
        <w:t>Alexandria Real Estate Equities Q1 2026 Results — PRNewswire, 2026</w:t>
      </w:r>
    </w:p>
    <w:p>
      <w:pPr>
        <w:spacing w:before="20" w:after="20"/>
        <w:ind w:left="170"/>
      </w:pPr>
      <w:r>
        <w:rPr>
          <w:rFonts w:ascii="Calibri" w:hAnsi="Calibri"/>
          <w:b/>
          <w:color w:val="4A6B25"/>
          <w:sz w:val="15"/>
        </w:rPr>
        <w:t xml:space="preserve">3. </w:t>
      </w:r>
      <w:r>
        <w:rPr>
          <w:rFonts w:ascii="Calibri" w:hAnsi="Calibri"/>
          <w:b w:val="0"/>
          <w:color w:val="3A4A28"/>
          <w:sz w:val="17"/>
        </w:rPr>
        <w:t>Alexandria Real Estate — 32 Years of Pioneering Leadership, WSJ 'Best Companies for the Future' Recognition — PRNewswire, 2026</w:t>
      </w:r>
    </w:p>
    <w:p>
      <w:pPr>
        <w:spacing w:before="20" w:after="20"/>
        <w:ind w:left="170"/>
      </w:pPr>
      <w:r>
        <w:rPr>
          <w:rFonts w:ascii="Calibri" w:hAnsi="Calibri"/>
          <w:b/>
          <w:color w:val="4A6B25"/>
          <w:sz w:val="15"/>
        </w:rPr>
        <w:t xml:space="preserve">4. </w:t>
      </w:r>
      <w:r>
        <w:rPr>
          <w:rFonts w:ascii="Calibri" w:hAnsi="Calibri"/>
          <w:b w:val="0"/>
          <w:color w:val="3A4A28"/>
          <w:sz w:val="17"/>
        </w:rPr>
        <w:t>Alexandria Real Estate Insider Purchases and Dividend Declaration ($0.72/share Q2 2026) — PRNewswire, ad-hoc-news.de, 2026</w:t>
      </w:r>
    </w:p>
    <w:p>
      <w:pPr>
        <w:spacing w:before="20" w:after="20"/>
        <w:ind w:left="170"/>
      </w:pPr>
      <w:r>
        <w:rPr>
          <w:rFonts w:ascii="Calibri" w:hAnsi="Calibri"/>
          <w:b/>
          <w:color w:val="4A6B25"/>
          <w:sz w:val="15"/>
        </w:rPr>
        <w:t xml:space="preserve">5. </w:t>
      </w:r>
      <w:r>
        <w:rPr>
          <w:rFonts w:ascii="Calibri" w:hAnsi="Calibri"/>
          <w:b w:val="0"/>
          <w:color w:val="3A4A28"/>
          <w:sz w:val="17"/>
        </w:rPr>
        <w:t>StockAnalysis / Yahoo Finance — ARE Key Statistics and Financial Data, accessed July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