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AROC</w:t>
      </w:r>
      <w:r>
        <w:rPr>
          <w:rFonts w:ascii="Calibri" w:hAnsi="Calibri"/>
          <w:b/>
          <w:color w:val="1A2010"/>
          <w:sz w:val="40"/>
        </w:rPr>
        <w:t xml:space="preserve">  Archrock, Inc.</w:t>
      </w:r>
    </w:p>
    <w:p>
      <w:pPr>
        <w:spacing w:after="120"/>
      </w:pPr>
      <w:r>
        <w:rPr>
          <w:rFonts w:ascii="Calibri" w:hAnsi="Calibri"/>
          <w:b/>
          <w:color w:val="6E8450"/>
          <w:sz w:val="18"/>
        </w:rPr>
        <w:t>DIVIDEND SLEEVE · 2026-07-25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Archrock is the largest owner and operator of natural gas compression equipment in the United States, with a nearly 70-year legacy of industry leadership. The company provides contract compression services and aftermarket parts/maintenance to oil and gas producers, processors, gatherers, and transporters through its fleet of 4.53 million operating horsepower. Founded in 1990 and headquartered in Houston, Texas.</w:t>
      </w:r>
    </w:p>
    <w:p>
      <w:r>
        <w:rPr>
          <w:rFonts w:ascii="Calibri" w:hAnsi="Calibri"/>
          <w:b/>
          <w:color w:val="6E8450"/>
          <w:sz w:val="18"/>
        </w:rPr>
        <w:t>1,350 Employees · https://www.archrock.com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grew 7.7% to $373.8M with contract operations up 10% ($331M) and adjusted EBITDA up 12% to $221M [1]. Operating horsepower expanded by ~250,000 YoY to 4.53M, and the fleet maintained 95% utilization with 72% adjusted gross margin [4]. However, growth is decelerating from the TOPS acquisition-driven 15.5% (FY2025) and 28.7% (Q4 2025) as the base effect normalizes. The core contract compression business model has not fundamentally changed in decades. AI Deployment (1/2): Archrock deploys remote monitoring and predictive maintenance technology across its compression fleet, and CEO Childers positions the company as essential infrastructure for AI data centers requiring natural gas power [2]. However, no specific AI products ship to customers and no quantified AI-driven cost savings have been reported. Market Share (2/2): Archrock is the largest natural gas compression provider in the U.S. by fleet horsepower, a dominant position consolidated through the TOPS acquisition and organic growth to 4.53M operating HP at 95% utilization [1][4]. Pipeline (0/2): Growth is driven by horsepower expansion ($250-275M growth CapEx planned for 2026) rather than next-generation products or technology platforms [4]. Equipment lead times of approximately 160 weeks reflect extreme market tightness but are not product innovation. R&amp;D Intensity (1/1): Investment in emissions compliance technology, fleet modernization, and remote monitoring positions Archrock above typical oilfield services peers in environmental technology adoption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 Power a Cleaner America' is specific and connects natural gas compression to the energy transition narrative, consistently articulated under CEO Brad Childers' 14+ year tenure [3]. The company's SBTi-aligned emissions targets and sustainability reporting demonstrate intentionality behind the tagline. However, the mission hasn't been tested through a genuine strategic sacrifice or multi-decade validation under different leadership. Community Impact (1/2): Archrock maintains general community engagement and sustainability reporting through a CEO sustainability message and SBTi targets, but no distinctive large-scale charitable foundation or quantified community investment programs are prominently disclosed [3]. Employee Retention (2/2): Outstanding Glassdoor rating of 4.5/5 based on 107 reviews with 89% recommendation rate — exceptional for oilfield services, an industry not known for strong workplace cultures [2]. CEO Brad Childers' 14+ year tenure provides remarkable leadership continuity, and field workers consistently cite strong safety culture and training programs. Some reviews note corporate micromanagement but overall employee satisfaction significantly exceeds industry norms. Insider Buying (0/2): No meaningful open-market insider buying by executives identified in recent filings; executive compensation is primarily through stock grants and equity awards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financial profile remains excellent with strong profitability and growth momentum. Revenue TTM of $1.52B with 21.5% profit margin and 22.7% ROE reflects efficient operations and pricing power in a tight compression market with 95% fleet utilization [1][5]. Forward P/E of 18.6x is attractive for a company delivering double-digit EBITDA growth ($221M Q1 2026, +12% YoY), and management reaffirmed 2026 adjusted EBITDA guidance of $865-915M [4]. D/E of 157% reflects acquisition-related leverage ($2.39B debt) but is improving — leverage ratio decreased to 2.6x from 2.7x in Q4 2025, with nearest bond maturity pushed to 2032 and ~$600M pro forma liquidity [4]. Dividend yield of 2.43% with 13 consecutive years paid and ~8% five-year growth CAGR demonstrates growing income quality, and the 46.8% payout ratio is sustainable given $692M operating cash flow [5]. Liquidity floor cleared: 2.03M × $36.14 = $73.3M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Archrock demonstrates strong infinite game characteristics through CEO Brad Childers' 14+ year tenure, exceptional employee culture (4.5/5 Glassdoor, 89% recommend), and consistent fleet expansion through multiple energy cycles. The company has maintained its compression services focus for nearly 70 years while evolving toward cleaner energy positioning with SBTi-aligned targets. The deceleration from 15.5% to 7.7% revenue growth tests whether the company's investment thesis is durable beyond the TOPS acquisition boost.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'We Power a Cleaner America' purpose connects natural gas compression to the energy transition and has been consistently articulated under CEO Childers' 14+ year leadership [3]. The company's commitment to SBTi-aligned emissions targets and environmental compliance technology demonstrates substance behind the tagline. The cause has been maintained through the 2020 energy downturn and the TOPS acquisition integration. However, it hasn't been tested through a genuine strategic sacrifice — the 'cleaner' positioning aligns with market incentives rather than requiring costly trade-offs.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4.5/5 Glassdoor rating with 89% recommendation rate based on 107 reviews is exceptional for oilfield services [2]. CEO Brad Childers' 14+ year tenure provides remarkable leadership stability that builds institutional trust. Field workers consistently cite strong safety culture, training programs, and competitive compensation. Average time on location of 6 years (8 years for large units) indicates deep, long-term customer and employee relationships [4]. Some reviews note corporate micromanagement, but the overwhelmingly positive employee sentiment — with 4.5 ratings for culture and values — places Archrock in the top tier for its industry.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acknowledges competitive strengths of peers like USA Compression Partners and CSI Compressco, using competitive dynamics to improve fleet modernization and service quality rather than pursuing market dominance through destructive pricing [4]. The TOPS acquisition expanded capabilities and capacity rather than eliminating a competitor. Q1 2026 bookings spreading beyond the Permian (only 35% in Permian) demonstrates strategic discipline in customer diversification rather than single-basin dominance plays.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evolved from Exterran Holdings (rebranded 2015) by narrowing its focus from a diversified oilfield services company to a pure-play compression provider — a strategic simplification that sharpened execution and created category dominance [3]. The company has incrementally adapted by adding aftermarket services ($43M Q1 2026 revenue), remote monitoring, and emissions-compliant equipment. However, the core contract compression model has remained unchanged for decades, and the business has not faced a genuine existential pivot test.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has demonstrated conviction by maintaining $250-275M in growth CapEx for 2026 while carrying $2.4B in debt, betting on sustained natural gas compression demand from AI data centers, LNG exports, and electrification [4]. The company maintained fleet expansion investments during the 2020 energy downturn when many peers cut spending dramatically. Leverage has improved from 2.7x to 2.6x while continuing to invest. However, these decisions align with strong market momentum and 95% utilization rather than requiring genuine sacrifice against short-term pressures.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Archrock is the dominant U.S. natural gas compression provider riding a structural growth cycle fueled by rising natural gas demand from AI data centers, LNG exports, and domestic power generation. Q1 2026 delivered $373.8M revenue (+7.7% YoY), $221M adjusted EBITDA (+12%), and $73.8M net income with 95% fleet utilization at 4.53M operating HP [1][4]. Management reaffirmed 2026 adjusted EBITDA guidance of $865-915M with $250-275M in growth CapEx for continued fleet expansion. At 18.6x forward P/E with 22.7% ROE and 21.5% profit margin, AROC offers compelling valuation with a 2.43% dividend yield growing at ~8% CAGR [5]. Equipment lead times of 160 weeks create extreme supply-side barriers that protect pricing power and utilization. CEO Childers' 14+ year tenure and 4.5/5 Glassdoor rating reflect stable, culture-driven execution that is rare in energy services [2]. Leverage is declining (2.6x, down from 2.7x) with nearest bond maturity pushed to 2032 and ~$600M pro forma liquidity [4].</w:t>
      </w:r>
    </w:p>
    <w:p>
      <w:pPr>
        <w:spacing w:after="120"/>
      </w:pPr>
      <w:r>
        <w:rPr>
          <w:rFonts w:ascii="Calibri" w:hAnsi="Calibri"/>
          <w:b w:val="0"/>
          <w:color w:val="3A4A28"/>
          <w:sz w:val="20"/>
        </w:rPr>
        <w:t>The bear case centers on growth deceleration, energy cycle dependence, and leverage. Revenue growth decelerated from 15.5% (FY2025, TOPS-driven) to 7.7% (Q1 2026) as the acquisition base effect normalizes — organic growth is more modest at mid-to-high single digits, and analyst forecasts project only 5.9% revenue growth over the next 3 years [5]. D/E of 157% with $2.39B in total debt creates interest rate sensitivity and limits financial flexibility during an energy downturn, despite the improving leverage trajectory [5]. Natural gas prices and drilling activity directly drive compression demand — a sustained gas price decline below $2/MMBtu would reduce utilization from the current 95% and compress pricing. EPS grew only 5% in Q1 2026 ($0.42 vs $0.40), well below the EBITDA growth rate of 12%, due to higher SGA costs ($45M vs $37M, including a $3.7M non-recurring item) [4]. Archrock's business is tied to fossil fuel infrastructure — while the energy transition timeline is long-dated, regulatory changes affecting natural gas drilling or methane emissions could increase compliance costs for the 1,350-employee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natural gas demand — CEO Childers cites AI onshoring as a significant catalyst, with U.S. natural gas volumes expected to reach record levels for the sixth consecutive year in 2026 [2][4]</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$865-915M with $250-275M growth CapEx and 160-week equipment lead times creating extreme supply-side barriers that protect pricing and utilization [4]</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at ~8% CAGR with sustainable 46.8% payout ratio, supported by $692M operating cash flow and improving leverage from 2.7x to 2.6x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15.5% (FY2025) to 7.7% (Q1 2026) as TOPS acquisition base effect normalizes — organic growth in the mid-single digits may not support the current valuation [1][5]</w:t>
      </w:r>
    </w:p>
    <w:p>
      <w:pPr>
        <w:spacing w:before="40" w:after="40"/>
        <w:ind w:left="283"/>
      </w:pPr>
      <w:r>
        <w:rPr>
          <w:rFonts w:ascii="Calibri" w:hAnsi="Calibri"/>
          <w:b/>
          <w:color w:val="4A6B25"/>
          <w:sz w:val="20"/>
        </w:rPr>
        <w:t xml:space="preserve">2. </w:t>
      </w:r>
      <w:r>
        <w:rPr>
          <w:rFonts w:ascii="Calibri" w:hAnsi="Calibri"/>
          <w:b w:val="0"/>
          <w:color w:val="3A4A28"/>
          <w:sz w:val="20"/>
        </w:rPr>
        <w:t>D/E of 157% with $2.39B total debt creates interest expense headwinds, though leverage is declining (2.6x) and nearest maturity pushed to 2032 [4][5]</w:t>
      </w:r>
    </w:p>
    <w:p>
      <w:pPr>
        <w:spacing w:before="40" w:after="40"/>
        <w:ind w:left="283"/>
      </w:pPr>
      <w:r>
        <w:rPr>
          <w:rFonts w:ascii="Calibri" w:hAnsi="Calibri"/>
          <w:b/>
          <w:color w:val="4A6B25"/>
          <w:sz w:val="20"/>
        </w:rPr>
        <w:t xml:space="preserve">3. </w:t>
      </w:r>
      <w:r>
        <w:rPr>
          <w:rFonts w:ascii="Calibri" w:hAnsi="Calibri"/>
          <w:b w:val="0"/>
          <w:color w:val="3A4A28"/>
          <w:sz w:val="20"/>
        </w:rPr>
        <w:t>Natural gas price and drilling activity cyclicality — a sustained gas price decline below $2/MMBtu would reduce the 95% fleet utilization that underpins Archrock's pricing power and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compression is a physical-world infrastructure service that AI cannot displace — compressors must be physically installed, operated, and maintained at well sites and gathering systems across the U.S. There is zero substitution risk from AI. Moreover, the AI data center buildout is a direct demand driver: AI data centers require massive electricity generation, which drives demand for natural gas, which requires compression services [2]. CEO Childers has explicitly cited 'onshoring of AI data centers' as a growth catalyst, and U.S. natural gas volumes are expected to reach record levels for the sixth consecutive year in 2026 [4]. Equipment lead times of 160 weeks demonstrate extreme supply tightness that further insulates existing providers from new competition. AI Opportunity (1/1): While Archrock does not sell AI products directly, the company's compression services are essential infrastructure for the natural gas that powers AI data centers — an indirect but quantifiable AI revenue tailwind that is already driving incremental demand across Archrock's operating regions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Archrock Q1 2026 Earnings Release — $373.8M revenue, +7.7% YoY, $221M adj. EBITDA (+12%), $73.8M net income, $0.42 EPS, May 2026</w:t>
      </w:r>
    </w:p>
    <w:p>
      <w:pPr>
        <w:spacing w:before="20" w:after="20"/>
        <w:ind w:left="170"/>
      </w:pPr>
      <w:r>
        <w:rPr>
          <w:rFonts w:ascii="Calibri" w:hAnsi="Calibri"/>
          <w:b/>
          <w:color w:val="4A6B25"/>
          <w:sz w:val="15"/>
        </w:rPr>
        <w:t xml:space="preserve">2. </w:t>
      </w:r>
      <w:r>
        <w:rPr>
          <w:rFonts w:ascii="Calibri" w:hAnsi="Calibri"/>
          <w:b w:val="0"/>
          <w:color w:val="3A4A28"/>
          <w:sz w:val="17"/>
        </w:rPr>
        <w:t>Archrock Leadership / Glassdoor — CEO Brad Childers 14+ year tenure, 4.5/5 rating, 89% recommend, 107 reviews, AI data center demand</w:t>
      </w:r>
    </w:p>
    <w:p>
      <w:pPr>
        <w:spacing w:before="20" w:after="20"/>
        <w:ind w:left="170"/>
      </w:pPr>
      <w:r>
        <w:rPr>
          <w:rFonts w:ascii="Calibri" w:hAnsi="Calibri"/>
          <w:b/>
          <w:color w:val="4A6B25"/>
          <w:sz w:val="15"/>
        </w:rPr>
        <w:t xml:space="preserve">3. </w:t>
      </w:r>
      <w:r>
        <w:rPr>
          <w:rFonts w:ascii="Calibri" w:hAnsi="Calibri"/>
          <w:b w:val="0"/>
          <w:color w:val="3A4A28"/>
          <w:sz w:val="17"/>
        </w:rPr>
        <w:t>Archrock Sustainability — 'We Power a Cleaner America,' SBTi targets, emissions compliance, CEO sustainability message</w:t>
      </w:r>
    </w:p>
    <w:p>
      <w:pPr>
        <w:spacing w:before="20" w:after="20"/>
        <w:ind w:left="170"/>
      </w:pPr>
      <w:r>
        <w:rPr>
          <w:rFonts w:ascii="Calibri" w:hAnsi="Calibri"/>
          <w:b/>
          <w:color w:val="4A6B25"/>
          <w:sz w:val="15"/>
        </w:rPr>
        <w:t xml:space="preserve">4. </w:t>
      </w:r>
      <w:r>
        <w:rPr>
          <w:rFonts w:ascii="Calibri" w:hAnsi="Calibri"/>
          <w:b w:val="0"/>
          <w:color w:val="3A4A28"/>
          <w:sz w:val="17"/>
        </w:rPr>
        <w:t>Archrock Q1 2026 Earnings Call — 95% utilization, 4.53M HP, 160-week lead times, $250-275M growth CapEx, $865-915M EBITDA guidance, 2.6x leverage</w:t>
      </w:r>
    </w:p>
    <w:p>
      <w:pPr>
        <w:spacing w:before="20" w:after="20"/>
        <w:ind w:left="170"/>
      </w:pPr>
      <w:r>
        <w:rPr>
          <w:rFonts w:ascii="Calibri" w:hAnsi="Calibri"/>
          <w:b/>
          <w:color w:val="4A6B25"/>
          <w:sz w:val="15"/>
        </w:rPr>
        <w:t xml:space="preserve">5. </w:t>
      </w:r>
      <w:r>
        <w:rPr>
          <w:rFonts w:ascii="Calibri" w:hAnsi="Calibri"/>
          <w:b w:val="0"/>
          <w:color w:val="3A4A28"/>
          <w:sz w:val="17"/>
        </w:rPr>
        <w:t>StockAnalysis — AROC $36.14, PE 19.65, forward PE 18.56, 22.68% ROE, 21.45% margin, 2.43% yield,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