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ARWR</w:t>
      </w:r>
      <w:r>
        <w:rPr>
          <w:rFonts w:ascii="Calibri" w:hAnsi="Calibri"/>
          <w:b/>
          <w:color w:val="1A2010"/>
          <w:sz w:val="40"/>
        </w:rPr>
        <w:t xml:space="preserve">  Arrowhead Pharmaceuticals, Inc.</w:t>
      </w:r>
    </w:p>
    <w:p>
      <w:pPr>
        <w:spacing w:after="120"/>
      </w:pPr>
      <w:r>
        <w:rPr>
          <w:rFonts w:ascii="Calibri" w:hAnsi="Calibri"/>
          <w:b/>
          <w:color w:val="6E8450"/>
          <w:sz w:val="18"/>
        </w:rPr>
        <w:t>GROWTH SLEEVE · 2026-07-08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Arrowhead Pharmaceuticals is a commercial-stage biopharmaceutical company developing medicines based on RNA interference (RNAi) using its proprietary Targeted RNAi Molecule (TRiM) platform. The company received its first FDA approval in 2025 for Redemplo (plozasiran) to treat familial chylomicronemia syndrome (FCS) and has a broad pipeline targeting cardiometabolic, pulmonary, hepatic, and neuromuscular diseases. Strategic collaboration with Sarepta Therapeutics for ARO-DUX4 generated significant milestone payments. Headquartered in Pasadena, California.</w:t>
      </w:r>
    </w:p>
    <w:p>
      <w:r>
        <w:rPr>
          <w:rFonts w:ascii="Calibri" w:hAnsi="Calibri"/>
          <w:b/>
          <w:color w:val="6E8450"/>
          <w:sz w:val="18"/>
        </w:rPr>
        <w:t>700 Employees · https://arrowheadpharma.com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Redemplo (plozasiran) became Arrowhead's first FDA-approved product in 2025 for familial chylomicronemia syndrome, followed by EU approval for clinically diagnosed FCS patients, representing a genuine commercial milestone for this formerly research-stage company [1]. The Sarepta partnership for ARO-DUX4 generated $750M+ in milestone payments and validated the TRiM platform for neuromuscular disease [2]. However, one commercial product does not yet constitute a transformative business model change. AI Deployment (0/2): No evidence of AI-powered products or quantified AI-driven cost savings; Arrowhead's innovation is biology-based, not AI-based [3]. Market Share (1/2): Arrowhead is a meaningful player in the RNAi therapeutics space with its proprietary TRiM platform, but Alnylam Pharmaceuticals remains the dominant leader with multiple approved RNAi therapies and a larger commercial infrastructure [3]. Product Pipeline (2/2): Multiple Phase 3 candidates including plozasiran for severe hypertriglyceridemia (obesity-related indication), ARO-APOC3 for hypertriglyceridemia, and the Sarepta-partnered ARO-DUX4 for facioscapulohumeral muscular dystrophy, with specific clinical readouts expected in 2026-2027 [2][3]. R&amp;D Intensity (1/1): R&amp;D spending is substantial relative to revenue, consistent with a clinical-stage biotech transitioning to commercial operations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Arrowhead's purpose centers on developing medicines for diseases associated with genetic abnormalities or protein overproduction using its RNAi platform. The mission is clear and identifies what the company does and for whom, but it is not distinctive among biotech peers and does not articulate a deeper vision beyond scientific development [3]. Community Impact (0/2): No evidence of significant charitable or community investment programs was found; the company focuses its resources on clinical development rather than external community programs. Employee Retention (0/2): Glassdoor reviews reveal a deeply divided culture with multiple reports of toxic leadership dynamics, favoritism, lack of accountability, and psychological safety concerns, alongside positive views highlighting scientific talent and mission-driven work [5]. No specific retention or turnover data is publicly available. Insider Buying (0/2): Of 50 insider trades in the past 6 months, zero have been purchases and all 50 have been sales, including CEO Christopher Anzalone selling 175,944 shares for an estimated $11.7M [4]. This pattern of heavy insider selling despite a 418% stock price increase signals lack of conviction at the leadership level.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Arrowhead is transitioning from a research-stage to commercial-stage company with Redemplo as its first approved product. TTM revenue of $622M is up 14% YoY, though this figure is heavily distorted by lumpy Sarepta collaboration milestone payments rather than recurring product sales [1][2]. The 5-year revenue CAGR of approximately 58% reflects milestone-driven volatility (FY2024 revenue collapsed to $3.55M before recovering to $829M in FY2025) rather than organic growth. D/E ratio of 231% is elevated for a biotech with limited commercial cash flow. ROE of -42% and profit margin of -48% reflect ongoing operating losses as the company invests in commercial infrastructure and pipeline development [4]. The stock passes the liquidity floor easily with $237M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Arrowhead under CEO Anzalone has demonstrated persistence in building the TRiM RNAi platform over 18 years, but the company exhibits several finite-game characteristics. Heavy insider selling despite dramatic stock price appreciation, toxic culture reports on Glassdoor, and a top-down leadership style without clear evidence of psychological safety suggest an organization focused on near-term value extraction rather than enduring institution-building.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Arrowhead has a purpose centered on developing RNAi medicines for genetically-driven diseases, which is meaningful but reads more as a business strategy than a Just Cause in Sinek's framework [3]. The mission does not articulate a vision of a future state that transcends the company. It is not interchangeable with peers due to the TRiM platform specificity, but it has not been tested through crisis or leadership transition. CEO Anzalone has led since 2007, so the cause has not yet survived a leadership change.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with dysfunctional leadership dynamics driven by insecurity, favoritism and lack of accountability, selective communication that breeds distrust, and psychological safety concerns for employees who think critically or advocate for themselves [5]. While some reviews praise scientific collaboration and talent, the pattern of cultural criticism suggests an organization where employees spend energy protecting themselves rather than advancing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Arrowhead acknowledges Alnylam's leadership in RNAi therapeutics and has positioned its TRiM platform as complementary rather than competitive to lipid nanoparticle approaches [3]. The Sarepta collaboration demonstrates willingness to partner with organizations that have complementary strengths rather than viewing all competitors as threats. Management discusses the competitive landscape in terms of advancing the RNAi field rather than defeating specific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Arrowhead has evolved from a pure research-stage company to a commercial-stage enterprise with its first FDA-approved product, Redemplo [1]. This represents meaningful but incremental evolution rather than a transformative pivot. The company has expanded from hepatic targets to cardiometabolic, pulmonary, and neuromuscular diseases, demonstrating flexibility in applying its platform to new therapeutic areas.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Anzalone persisted through 18 years of pre-commercial development, maintaining conviction in the TRiM platform through periods of clinical setbacks and investor skepticism [3]. The decision to pursue the challenging FCS indication as the first approval target rather than a larger-market indication showed willingness to take an unconventional path. However, heavy insider selling ($11.7M by the CEO alone) at the moment of the company's greatest commercial achievement undermines the narrative of long-term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Arrowhead Pharmaceuticals has reached a pivotal inflection point with its first FDA-approved product, Redemplo (plozasiran), for familial chylomicronemia syndrome, and the stock has surged 418% over the past year in response [1][4]. The Sarepta collaboration generated $750M+ in milestone payments validating the TRiM platform's breadth, and the pipeline includes multiple Phase 3 candidates targeting larger markets including severe hypertriglyceridemia and obesity-related cardiometabolic disease [2]. Q1 FY2026 revenue of $264M beat estimates of $228M, with EPS of $0.22 exceeding the $0.12 forecast, demonstrating the commercial trajectory is gaining momentum [1].</w:t>
      </w:r>
    </w:p>
    <w:p>
      <w:pPr>
        <w:spacing w:after="120"/>
      </w:pPr>
      <w:r>
        <w:rPr>
          <w:rFonts w:ascii="Calibri" w:hAnsi="Calibri"/>
          <w:b w:val="0"/>
          <w:color w:val="3A4A28"/>
          <w:sz w:val="20"/>
        </w:rPr>
        <w:t>However, Arrowhead remains deeply unprofitable with a -48% profit margin, -42% ROE, and D/E of 231%, reflecting the capital intensity of transitioning from research to commercial operations [4]. Revenue is extremely lumpy due to milestone-driven collaboration payments, making financial projections unreliable: Q2 FY2026 revenue dropped to $74M from $264M the prior quarter [2]. The consensus EPS estimate for FY2026 remains at -$3.46 per share with no profitability expected in the next 3 years. Heavy insider selling by management including $11.7M by CEO Anzalone, combined with toxic culture reports on Glassdoor, raise governance concerns. The $12.25B market cap on $622M TTM revenue with no clear path to profitability makes the risk-reward profile speculative despite the promising pipeline.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Redemplo commercial launch ramp in the US and EU, with peak sales estimates for the FCS indication of $500M-1B plus potential label expansion to severe hypertriglyceridemia addressing a significantly larger patient population</w:t>
      </w:r>
    </w:p>
    <w:p>
      <w:pPr>
        <w:spacing w:before="40" w:after="40"/>
        <w:ind w:left="283"/>
      </w:pPr>
      <w:r>
        <w:rPr>
          <w:rFonts w:ascii="Calibri" w:hAnsi="Calibri"/>
          <w:b/>
          <w:color w:val="4A6B25"/>
          <w:sz w:val="20"/>
        </w:rPr>
        <w:t xml:space="preserve">2. </w:t>
      </w:r>
      <w:r>
        <w:rPr>
          <w:rFonts w:ascii="Calibri" w:hAnsi="Calibri"/>
          <w:b w:val="0"/>
          <w:color w:val="3A4A28"/>
          <w:sz w:val="20"/>
        </w:rPr>
        <w:t>Phase 3 clinical data readouts for plozasiran in obesity-related hypertriglyceridemia and ARO-APOC3 in 2026-2027, which could open multi-billion-dollar cardiometabolic markets</w:t>
      </w:r>
    </w:p>
    <w:p>
      <w:pPr>
        <w:spacing w:before="40" w:after="40"/>
        <w:ind w:left="283"/>
      </w:pPr>
      <w:r>
        <w:rPr>
          <w:rFonts w:ascii="Calibri" w:hAnsi="Calibri"/>
          <w:b/>
          <w:color w:val="4A6B25"/>
          <w:sz w:val="20"/>
        </w:rPr>
        <w:t xml:space="preserve">3. </w:t>
      </w:r>
      <w:r>
        <w:rPr>
          <w:rFonts w:ascii="Calibri" w:hAnsi="Calibri"/>
          <w:b w:val="0"/>
          <w:color w:val="3A4A28"/>
          <w:sz w:val="20"/>
        </w:rPr>
        <w:t>Sarepta partnership milestones for ARO-DUX4 in facioscapulohumeral muscular dystrophy, with additional development and regulatory milestone payments expected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Consensus FY2026 EPS of -$3.46 with no profitability expected in the next 3 years, combined with D/E of 231% and -48% profit margin, creates significant dilution and financing risk if pipeline readouts disappoint</w:t>
      </w:r>
    </w:p>
    <w:p>
      <w:pPr>
        <w:spacing w:before="40" w:after="40"/>
        <w:ind w:left="283"/>
      </w:pPr>
      <w:r>
        <w:rPr>
          <w:rFonts w:ascii="Calibri" w:hAnsi="Calibri"/>
          <w:b/>
          <w:color w:val="4A6B25"/>
          <w:sz w:val="20"/>
        </w:rPr>
        <w:t xml:space="preserve">2. </w:t>
      </w:r>
      <w:r>
        <w:rPr>
          <w:rFonts w:ascii="Calibri" w:hAnsi="Calibri"/>
          <w:b w:val="0"/>
          <w:color w:val="3A4A28"/>
          <w:sz w:val="20"/>
        </w:rPr>
        <w:t>Revenue extreme volatility driven by one-time milestone payments rather than recurring product sales makes financial modeling unreliable and creates quarter-to-quarter expectations risk</w:t>
      </w:r>
    </w:p>
    <w:p>
      <w:pPr>
        <w:spacing w:before="40" w:after="40"/>
        <w:ind w:left="283"/>
      </w:pPr>
      <w:r>
        <w:rPr>
          <w:rFonts w:ascii="Calibri" w:hAnsi="Calibri"/>
          <w:b/>
          <w:color w:val="4A6B25"/>
          <w:sz w:val="20"/>
        </w:rPr>
        <w:t xml:space="preserve">3. </w:t>
      </w:r>
      <w:r>
        <w:rPr>
          <w:rFonts w:ascii="Calibri" w:hAnsi="Calibri"/>
          <w:b w:val="0"/>
          <w:color w:val="3A4A28"/>
          <w:sz w:val="20"/>
        </w:rPr>
        <w:t>Heavy insider selling (50 sales, 0 purchases in 6 months) and Glassdoor culture concerns suggest governance and talent retention risks during the critical commercial launch phase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Arrowhead's core business of developing RNAi therapeutics is well protected from AI disruption. Drug development requires physical molecule design, preclinical studies, multi-year clinical trials, and regulatory approval processes that AI cannot substitute [3]. The proprietary TRiM platform involves complex biology-chemistry interactions that require wet-lab validation. However, AI-accelerated drug discovery by competitors, particularly large pharma with dedicated AI units, could compress Arrowhead's competitive lead in RNAi target identification and molecule optimization. The company does not appear to be deploying AI defensively in its own discovery pipeline, creating a modest vulnerability relative to AI-enabled competitors. AI Opportunity (1/1): The broader pharmaceutical industry's adoption of AI for clinical trial design, patient identification, and drug interaction modeling creates opportunities for Arrowhead to leverage AI to accelerate its own pipeline development and reduce clinical trial costs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Arrowhead Pharmaceuticals Q1 FY2026 Earnings Release — Investing.com Earnings Call Transcript, January 2026</w:t>
      </w:r>
    </w:p>
    <w:p>
      <w:pPr>
        <w:spacing w:before="20" w:after="20"/>
        <w:ind w:left="170"/>
      </w:pPr>
      <w:r>
        <w:rPr>
          <w:rFonts w:ascii="Calibri" w:hAnsi="Calibri"/>
          <w:b/>
          <w:color w:val="4A6B25"/>
          <w:sz w:val="15"/>
        </w:rPr>
        <w:t xml:space="preserve">2. </w:t>
      </w:r>
      <w:r>
        <w:rPr>
          <w:rFonts w:ascii="Calibri" w:hAnsi="Calibri"/>
          <w:b w:val="0"/>
          <w:color w:val="3A4A28"/>
          <w:sz w:val="17"/>
        </w:rPr>
        <w:t>Arrowhead Pharmaceuticals Q2 FY2026 Earnings Release — Investing.com, April 2026</w:t>
      </w:r>
    </w:p>
    <w:p>
      <w:pPr>
        <w:spacing w:before="20" w:after="20"/>
        <w:ind w:left="170"/>
      </w:pPr>
      <w:r>
        <w:rPr>
          <w:rFonts w:ascii="Calibri" w:hAnsi="Calibri"/>
          <w:b/>
          <w:color w:val="4A6B25"/>
          <w:sz w:val="15"/>
        </w:rPr>
        <w:t xml:space="preserve">3. </w:t>
      </w:r>
      <w:r>
        <w:rPr>
          <w:rFonts w:ascii="Calibri" w:hAnsi="Calibri"/>
          <w:b w:val="0"/>
          <w:color w:val="3A4A28"/>
          <w:sz w:val="17"/>
        </w:rPr>
        <w:t>Arrowhead Pharmaceuticals Science &amp; Innovation and Leadership Team — arrowheadpharma.com,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ARWR Key Statistics, Financial Data, and Insider Transactions,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Glassdoor — Arrowhead Pharmaceuticals Employee Reviews,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