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ASB</w:t>
      </w:r>
      <w:r>
        <w:rPr>
          <w:rFonts w:ascii="Calibri" w:hAnsi="Calibri"/>
          <w:b/>
          <w:color w:val="1A2010"/>
          <w:sz w:val="40"/>
        </w:rPr>
        <w:t xml:space="preserve">  Associated Banc-Corp</w:t>
      </w:r>
    </w:p>
    <w:p>
      <w:pPr>
        <w:spacing w:after="120"/>
      </w:pPr>
      <w:r>
        <w:rPr>
          <w:rFonts w:ascii="Calibri" w:hAnsi="Calibri"/>
          <w:b/>
          <w:color w:val="6E8450"/>
          <w:sz w:val="18"/>
        </w:rPr>
        <w:t>DIVIDEND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Associated Banc-Corp is a Wisconsin-based regional bank holding company operating across Wisconsin, Illinois, and Minnesota through its Associated Bank subsidiary. Founded in 1861, the bank offers consumer banking, commercial banking, wealth management, and capital markets services. The company recently closed the acquisition of American National Corporation, expanding its Midwest footprint. Led by CEO Andy Harmening since 2021. Market cap approximately $5.7 billion.</w:t>
      </w:r>
    </w:p>
    <w:p>
      <w:r>
        <w:rPr>
          <w:rFonts w:ascii="Calibri" w:hAnsi="Calibri"/>
          <w:b/>
          <w:color w:val="6E8450"/>
          <w:sz w:val="18"/>
        </w:rPr>
        <w:t>3,934 Employees · https://www.associatedbank.com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Andy Harmening (since 2021), ASB executed a 'people-led, digitally-enabled' strategic plan that grew the bank from $35B to $48B+ in assets, including the American National Corporation acquisition that is expected to drive 17-19% loan growth in 2026 [1]. Q1 2026 net income of $117M (+18.6% YoY) reflects improved operational execution, but the strategy is evolution of a traditional regional banking model, not a transformative pivot. AI Deployment (1/2): ASB hired Andy Miner as senior director of AI for Corporate &amp; Commercial Banking in 2026 to lead AI strategy, use cases, and adoption for loan processing, client insights, and portfolio management [3]. A Board Technology Committee was created to oversee AI governance. However, no AI products are shipping or quantified savings reported — this is still exploration stage. Market Share (1/2): ASB is a meaningful Upper Midwest regional player but holds modest market share against PNC, US Bancorp, Truist, and JPMorgan in its footprint; not a category leader [1]. Product Pipeline (1/2): American National integration provides growth visibility, and guided 8-10% noninterest income growth in 2026 [1]. No specific next-gen product launches with timelines announced. R&amp;D Intensity (0/1): Banks do not report traditional R&amp;D; ASB's technology investment is at typical regional bank levels but not above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Associated Bank's mission centers on being a customer-focused community bank serving the Upper Midwest — clear and identifiable but not transformative or uniquely distinctive relative to peer regional banks [4]. Community Impact (2/2): ASB committed $2 billion in its 2024-2026 Community Commitment Plan, the fourth such three-year plan since 2016, totaling $9 billion in cumulative community contributions including community development loans, LMI/minority residential mortgages, and $1.7B in renewable energy financing [4]. The fourth annual Day of Service in June 2026 mobilized nearly 2,600 employees (66% of workforce) to volunteer with 200+ nonprofits across six states — exceptional participation for any company [5]. Employee Retention (1/2): Named a Top Workplace under Harmening's leadership. The '100 Days of Listening' culture initiative and annual Day of Service with 66% employee participation suggest positive organizational culture, though no specific tenure or turnover data was disclosed [3]. Insider Buying (0/2): No notable open-market insider buying disclosed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Q1 2026 net income of $117M ($0.70/share, +18.6% YoY) with NIM of 3.03% (+6bps YoY) and noninterest income of $75.9M demonstrate healthy earning power [1]. Forward P/E of 10.09 is well below the 20 target, profit margin of 33.4% exceeds the 20% target, and payout ratio of 33.0% is below the 40% target [2]. D/E of ~85% (funded debt/equity, excluding deposits) reflects conservative bank capitalization. ROE of 10.2% is below the 15% target but acceptable for a well-capitalized regional bank. The 30+ year dividend payment streak scores full marks. Calculation: D/E ~85% scores 0.94, ROE 10.2% scores 0.68, Rev YoY ~10% scores 1.0, Rev 5yr CAGR ~5.5% scores 0.70, Fwd P/E 10.09 scores 1.0, Profit Margin 33.4% scores 1.0, Payout 33.0% scores 1.0, Consec Years Paid 30+ scores 1.0 (2x), Consec Years Growth 3 scores 0.30, 5yr Div Growth CAGR ~2% scores 0.33 (2x). Weighted sum 9.28 / max 12 = 7.7, rounds to 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Associated Bank is a 165-year-old Upper Midwest community bank that has shown renewed strategic discipline under Andy Harmening, with a distinctive $9 billion community commitment and a culture of listening. The 30+ year dividend streak and multi-generational community presence reflect genuine endurance. However, the bank lacks the transformative purpose, existential pivots, or competitive mindset that would mark a true infinite game leader in Sinek's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ASB's community-banking purpose is grounded in serving Upper Midwest customers and communities, validated by 165 years of continuous operation and $9 billion in cumulative community commitments since 2016 including $1.7B in renewable energy financing [4]. The purpose connects banking to community development in a way that is distinctive among regional peers. Strategic decisions (community commitment plans, renewable energy lending, Day of Service) trace back to this purpose. However, the cause has not been tested through a transformative crisis that forced fundamental reinvention — it remains a well-executed community banking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Harmening's '100 Days of Listening' tour, Top Workplaces recognition, and the Day of Service with 2,600 employees (66% of workforce) volunteering with 200+ nonprofits suggest a healthy organizational culture [3][5]. New CHRO Julio Manso was hired to further develop human capital strategy. However, CEO tenure is only 5 years, and no specific employee turnover or tenure data was disclosed to confirm above-average retention.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discusses competitive positioning relative to US Bancorp, JPMorgan, and PNC in its footprint, but evidence of a Sinek-style worthy rival mindset — acknowledging competitors' strengths as motivation for self-improvement — is thin. Competitive language is primarily focused on market share defense and operational execution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ASB has evolved from a Wisconsin community bank to a three-state Upper Midwest regional with growing capital markets, wealth management, and renewable energy lending capabilities [4]. The American National acquisition expands the platform incrementally. However, these are evolutionary extensions of the same community banking model, not transformative pivots that fundamentally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 billion per-cycle community commitment — sustained across four three-year plans since 2016 — represents a meaningful financial commitment to community development that exceeds typical regional bank CSR programs [4]. The American National acquisition shows growth ambition despite integration risk. The $1.7B in renewable energy financing demonstrates willingness to invest in emerging sectors. However, there is no clear example of sacrificing near-term earnings for long-term capability in the way Sinek's framework demands.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Associated Banc-Corp is a well-capitalized Upper Midwest regional bank executing a successful strategic plan under CEO Andy Harmening. Q1 2026 net income of $117M ($0.70/share, +18.6% YoY) with NIM of 3.03% and noninterest income of $75.9M demonstrate healthy and improving earnings power [1]. The American National acquisition adds loan growth of 17-19% in 2026 with 8-10% noninterest income growth guided [1]. At 10.09x forward earnings with a 3.14% dividend yield and 30+ year dividend payment streak, the stock offers attractive income-plus-value characteristics. The $9 billion in cumulative community commitments since 2016 and the Day of Service mobilizing 66% of employees reflect embedded community relationships that serve as a durable competitive moat [4][5].</w:t>
      </w:r>
    </w:p>
    <w:p>
      <w:pPr>
        <w:spacing w:after="120"/>
      </w:pPr>
      <w:r>
        <w:rPr>
          <w:rFonts w:ascii="Calibri" w:hAnsi="Calibri"/>
          <w:b w:val="0"/>
          <w:color w:val="3A4A28"/>
          <w:sz w:val="20"/>
        </w:rPr>
        <w:t>The bear case centers on the structural challenges facing mid-cap regional banking. ROE of 10.2% is below the 15% target and lags money-center peers that benefit from scale advantages in technology, AI investment, and capital markets [2]. The 5-year dividend growth CAGR of ~2% indicates limited dividend-growth runway despite the long payment streak, and the stock has only returned ~20% over the past year despite a strong banking environment. Geographic concentration in Wisconsin, Illinois, and Minnesota creates exposure to Upper Midwest commercial real estate and manufacturing cycles. ASB's 3,934 employees and ~$48B asset base position it as a potential acquisition target rather than a consolidator — the American National deal partially addresses scale but the bank remains subscale relative to large regionals. Fintech and AI-powered competitors could gradually erode market share in commodity banking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National acquisition integration driving 17-19% loan growth and 8-10% noninterest income growth in 2026, with margin expansion as synergies are captured</w:t>
      </w:r>
    </w:p>
    <w:p>
      <w:pPr>
        <w:spacing w:before="40" w:after="40"/>
        <w:ind w:left="283"/>
      </w:pPr>
      <w:r>
        <w:rPr>
          <w:rFonts w:ascii="Calibri" w:hAnsi="Calibri"/>
          <w:b/>
          <w:color w:val="4A6B25"/>
          <w:sz w:val="20"/>
        </w:rPr>
        <w:t xml:space="preserve">2. </w:t>
      </w:r>
      <w:r>
        <w:rPr>
          <w:rFonts w:ascii="Calibri" w:hAnsi="Calibri"/>
          <w:b w:val="0"/>
          <w:color w:val="3A4A28"/>
          <w:sz w:val="20"/>
        </w:rPr>
        <w:t>Forward P/E of 10.09 with 3.14% dividend yield and 30+ year payment streak offers attractive total return at low valuation multiples with $100M share buyback authorization</w:t>
      </w:r>
    </w:p>
    <w:p>
      <w:pPr>
        <w:spacing w:before="40" w:after="40"/>
        <w:ind w:left="283"/>
      </w:pPr>
      <w:r>
        <w:rPr>
          <w:rFonts w:ascii="Calibri" w:hAnsi="Calibri"/>
          <w:b/>
          <w:color w:val="4A6B25"/>
          <w:sz w:val="20"/>
        </w:rPr>
        <w:t xml:space="preserve">3. </w:t>
      </w:r>
      <w:r>
        <w:rPr>
          <w:rFonts w:ascii="Calibri" w:hAnsi="Calibri"/>
          <w:b w:val="0"/>
          <w:color w:val="3A4A28"/>
          <w:sz w:val="20"/>
        </w:rPr>
        <w:t>NIM expansion potential as deposit costs ease and the yield curve steepens, supported by ASB's 3.03% current NIM trending above year-ago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10.2% structurally trails money-center peers (JPM, BAC at 15-20%) and the 2% five-year dividend growth CAGR limits the compounding value of the income stream</w:t>
      </w:r>
    </w:p>
    <w:p>
      <w:pPr>
        <w:spacing w:before="40" w:after="40"/>
        <w:ind w:left="283"/>
      </w:pPr>
      <w:r>
        <w:rPr>
          <w:rFonts w:ascii="Calibri" w:hAnsi="Calibri"/>
          <w:b/>
          <w:color w:val="4A6B25"/>
          <w:sz w:val="20"/>
        </w:rPr>
        <w:t xml:space="preserve">2. </w:t>
      </w:r>
      <w:r>
        <w:rPr>
          <w:rFonts w:ascii="Calibri" w:hAnsi="Calibri"/>
          <w:b w:val="0"/>
          <w:color w:val="3A4A28"/>
          <w:sz w:val="20"/>
        </w:rPr>
        <w:t>Upper Midwest geographic concentration creates exposure to regional CRE and manufacturing cycles without the diversification that larger regionals offer</w:t>
      </w:r>
    </w:p>
    <w:p>
      <w:pPr>
        <w:spacing w:before="40" w:after="40"/>
        <w:ind w:left="283"/>
      </w:pPr>
      <w:r>
        <w:rPr>
          <w:rFonts w:ascii="Calibri" w:hAnsi="Calibri"/>
          <w:b/>
          <w:color w:val="4A6B25"/>
          <w:sz w:val="20"/>
        </w:rPr>
        <w:t xml:space="preserve">3. </w:t>
      </w:r>
      <w:r>
        <w:rPr>
          <w:rFonts w:ascii="Calibri" w:hAnsi="Calibri"/>
          <w:b w:val="0"/>
          <w:color w:val="3A4A28"/>
          <w:sz w:val="20"/>
        </w:rPr>
        <w:t>Subscale technology and AI investment relative to large banks could erode competitive position as fintech disruptors and money-center AI capabilities accelerate over the next 3-5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Regional banking is structurally protected from AI disruption — deposit-taking, regulated commercial lending, branch-based small business banking, and wealth management all involve regulated processes, physical customer relationships, and compliance moats that AI cannot fully displace [3]. ASB's Upper Midwest community relationships and 165-year local market presence create switching costs AI cannot replicate. However, AI does create efficiency pressure on back-office operations, call centers, mortgage underwriting, and branch staffing. ASB lacks the scale to lead in proprietary AI tooling compared to money-center banks (JPMorgan, Bank of America) that are investing billions in AI infrastructure. Fintech competitors using AI for lending, payments, and wealth management could gradually erode market share in specific product lines. AI Opportunity (0/1): No quantified AI revenue or specific AI cost savings disclosed. The recent hire of a senior AI director is strategic positioning but has not yet produced measurable results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Associated Banc-Corp Q1 2026 Earnings Release — $117M net income, $0.70 EPS, NIM 3.03%, American National guidance, PRNewswire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ASB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Simply Wall St / Sahm Capital — ASB AI Strategy Analysis, Andy Miner senior AI director appointment, July 2026</w:t>
      </w:r>
    </w:p>
    <w:p>
      <w:pPr>
        <w:spacing w:before="20" w:after="20"/>
        <w:ind w:left="170"/>
      </w:pPr>
      <w:r>
        <w:rPr>
          <w:rFonts w:ascii="Calibri" w:hAnsi="Calibri"/>
          <w:b/>
          <w:color w:val="4A6B25"/>
          <w:sz w:val="15"/>
        </w:rPr>
        <w:t xml:space="preserve">4. </w:t>
      </w:r>
      <w:r>
        <w:rPr>
          <w:rFonts w:ascii="Calibri" w:hAnsi="Calibri"/>
          <w:b w:val="0"/>
          <w:color w:val="3A4A28"/>
          <w:sz w:val="17"/>
        </w:rPr>
        <w:t>Associated Bank $2B Community Commitment Plan and $9B Cumulative Community Investment — PRNewswire, 2024-2026</w:t>
      </w:r>
    </w:p>
    <w:p>
      <w:pPr>
        <w:spacing w:before="20" w:after="20"/>
        <w:ind w:left="170"/>
      </w:pPr>
      <w:r>
        <w:rPr>
          <w:rFonts w:ascii="Calibri" w:hAnsi="Calibri"/>
          <w:b/>
          <w:color w:val="4A6B25"/>
          <w:sz w:val="15"/>
        </w:rPr>
        <w:t xml:space="preserve">5. </w:t>
      </w:r>
      <w:r>
        <w:rPr>
          <w:rFonts w:ascii="Calibri" w:hAnsi="Calibri"/>
          <w:b w:val="0"/>
          <w:color w:val="3A4A28"/>
          <w:sz w:val="17"/>
        </w:rPr>
        <w:t>Associated Bank Fourth Annual Day of Service — 2,600 employees volunteering with 200+ nonprofits, PRNewswire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