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ASPN</w:t>
      </w:r>
      <w:r>
        <w:rPr>
          <w:rFonts w:ascii="Calibri" w:hAnsi="Calibri"/>
          <w:b/>
          <w:color w:val="1A2010"/>
          <w:sz w:val="40"/>
        </w:rPr>
        <w:t xml:space="preserve">  Aspen Aerogels, Inc.</w:t>
      </w:r>
    </w:p>
    <w:p>
      <w:pPr>
        <w:spacing w:after="120"/>
      </w:pPr>
      <w:r>
        <w:rPr>
          <w:rFonts w:ascii="Calibri" w:hAnsi="Calibri"/>
          <w:b/>
          <w:color w:val="6E8450"/>
          <w:sz w:val="18"/>
        </w:rPr>
        <w:t>GROWTH SLEEVE · 2026-07-21 · Inspire: 59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Chemicals — Aerogel Insulation · NYSE · United States</w:t>
      </w:r>
    </w:p>
    <w:p>
      <w:pPr>
        <w:spacing w:after="80"/>
      </w:pPr>
      <w:r>
        <w:rPr>
          <w:rFonts w:ascii="Calibri" w:hAnsi="Calibri"/>
          <w:b w:val="0"/>
          <w:color w:val="3A4A28"/>
          <w:sz w:val="20"/>
        </w:rPr>
        <w:t>Aspen Aerogels, Inc. designs, develops, manufactures, and sells aerogel-based insulation products for energy infrastructure and electric vehicle thermal barrier applications. The company operates through two segments: Energy Industrial (petrochemical, LNG, and power generation insulation) and Thermal Barrier (PyroThin products for EV battery thermal runaway protection). Founded in 2001, headquartered in Northborough, Massachusetts.</w:t>
      </w:r>
    </w:p>
    <w:p>
      <w:r>
        <w:rPr>
          <w:rFonts w:ascii="Calibri" w:hAnsi="Calibri"/>
          <w:b/>
          <w:color w:val="6E8450"/>
          <w:sz w:val="18"/>
        </w:rPr>
        <w:t>854 Employees · https://www.aerogel.com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Aspen Aerogels successfully developed and commercialized PyroThin thermal barrier technology for EV batteries, transforming the company from a niche industrial insulation maker (~$104M revenue in 2020) to a peak of $452.7M in FY2024 [1]. The EV thermal barrier business became the primary growth driver before GM's production pullback. The company also won a North Sea Pipe-in-Pipe project and is qualifying for data center and grid infrastructure applications in 2026 [1]. AI Deployment (1/2): The company applies artificial intelligence to manufacturing lines for yield optimization and equipment predictive maintenance [2], representing meaningful internal AI deployment, though no quantified cost savings or AI-powered customer products have been publicly reported. Market Share (2/2): Aspen Aerogels is the undisputed global leader in commercial aerogel insulation technology, holding a dominant position in aerogel-based thermal management across both energy industrial and EV applications with an extensive patent portfolio and proprietary manufacturing processes [3]. Product Pipeline (1/2): The company is diversifying its thermal barrier customer base beyond GM and qualifying for new applications in data center cooling and grid infrastructure, with first revenue expected in 2026 [1]. Energy Industrial segment targets ~20% growth in 2026 with LNG activity expected to roughly double. R&amp;D Intensity (1/1): As a technology-first materials company, Aspen Aerogels invests heavily in R&amp;D relative to specialty chemicals peers, with ongoing development of advanced aerogel formulations and manufacturing processes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Aspen Aerogels' purpose — to 'sustainably enable the world's need for energy efficiency and electrification' — is specific, thoughtful, and clearly differentiates from generic corporate missions [3]. The company's work on thermal barriers for EVs and insulation for energy infrastructure directly serves this purpose. CEO Don Young's 24.5-year tenure demonstrates sustained personal commitment to the mission. However, the purpose hasn't yet been validated through decades of execution across multiple market cycles or leadership transitions to earn the highest floor. Community Impact (1/2): The company established an ESG Steering Committee with cross-functional senior leadership, published an inaugural ESG Highlights Report, and identified nine priority topics across sustainable products, green manufacturing, and social responsibility [4]. These represent genuine but early-stage commitments without specific charitable dollar amounts. Employee Retention (1/2): CEO Don Young's 24.5-year tenure is exceptional and signals deep conviction in the company's mission [2]. Leadership stability is further evidenced by the planned CFO succession and appointment of Glenn Deegan as Chief Administrative Officer. No specific workforce turnover or average tenure data is publicly available. Insider Buying (1/2): Director William P. Noglows purchased $70,295 worth of ASPN stock on June 23, 2026, and insiders were net buyers over the past year [5]. However, Chief Accounting Officer Santhosh Daniel sold $47K in shares recently, and overall insider ownership stands at only 1.5% of shares outstanding.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stock, Forward P/E and PEG excluded as unavailable). D/E of 49.4% scores 1.0 at 1x weight — conservative balance sheet with $175.6M cash against $150.2M debt [1]. ROE of -42.4% floors at 0.0 at 2x weight — deep losses consuming equity base. Revenue growth YoY of -13.0% (FY2025 ~$394M vs FY2024 $452.7M) scores 0.23 at 1x weight [1]. Revenue 5yr CAGR of approximately 30.5% (2020 ~$104M to 2025 ~$394M) scores 1.0 at 2x weight, though this is inflated by the 2024 peak. Profit margin of -48.6% floors at 0.0 at 1x weight [1]. Weighted sum: (1x1.0)+(2x0.0)+(1x0.23)+(2x1.0)+(1x0.0) = 3.23 / 7 max = 4.6, rounded to 5. Liquidity floor cleared: 1,590,000 avg volume x $6.32 = $10.0M [5]. Q1 2026 revenue of $37.9M was down 52% from Q1 2025's $78.7M, with Q2 2026 guidance of $40M-$48M [1]. Management targets adjusted EBITDA breakeven at $50M quarterly revenue in H2 2026.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Aspen Aerogels under Don Young's 24-year leadership demonstrates genuine commitment to a sustainability-driven purpose, with strategic decisions tracing back to enabling energy efficiency and electrification. The bold pivot to EV thermal barriers showed courage, and the company's response to GM's pullback — diversifying customers and applications rather than retreating — reflects infinite thinking. However, the company hasn't yet faced a true existential test of its purpose through leadership transition, and the recent revenue collapse tests whether the cause will survive adversity.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Aspen Aerogels' purpose of sustainably enabling energy efficiency and electrification is genuine and distinctive, connecting aerogel technology to a larger vision of sustainability and climate resilience [3]. CEO Don Young's 24.5-year tenure demonstrates sustained personal commitment to this cause. The strategic pivot to EV thermal barriers was driven by this purpose, not opportunism. However, the cause hasn't been tested through major leadership transitions or validated by decades of consistent execution to earn the highest score.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Leadership stability is strong — CEO Don Young's 24.5-year tenure and planned executive succession (CFO retirement, CAO appointment) suggest an organized, stable culture [2]. The company's ESG Steering Committee is cross-functional, indicating collaborative leadership structures. However, the company has undergone restructuring and cost reductions as EV demand declined, and no specific data on employee turnover, tenure, or cultural practices is publicly available to confirm exceptional organizational trust beyond the executive level.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Aspen Aerogels competes on the strength of its proprietary aerogel technology platform rather than attacking competitors. The company's competitive language focuses on the superior thermal performance, safety characteristics, and sustainability benefits of aerogel as a material solution [3]. Management discussions emphasize advancing the technology and expanding applications, consistent with an improvement-oriented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successfully expanded from pure industrial energy insulation into EV battery thermal barriers, a significant market extension that transformed its revenue profile from ~$104M (2020) to $452.7M (FY2024) [1]. The response to GM's EV pullback — diversifying to data center, grid infrastructure, and new OEM customers rather than retreating to legacy business — shows adaptive thinking. However, these represent evolution of the core aerogel technology platform into adjacent markets rather than a truly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Aspen Aerogels made significant capital investments to build thermal barrier manufacturing capacity for the EV market, betting on electrification before it became mainstream [1]. When GM pulled back on EV production and revenue declined sharply, management maintained its commitment to the thermal barrier business and continued investing in customer diversification and new applications (data center, grid) rather than retreating to cost-cutting only. The willingness to sustain substantial losses ($23.7M net loss in Q1 2026) while pursuing the long-term strategy demonstrates conviction, supported by the $175.6M cash position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Aspen Aerogels is the global leader in commercial aerogel insulation technology, holding a dominant position across both energy industrial and EV thermal barrier markets. Despite a challenging transition — FY2025 revenue declined approximately 13% to ~$394M as GM pulled back EV production — the company maintains a conservative balance sheet with $175.6M cash, D/E of 49.4%, and a $37.6M GM cash settlement providing additional cushion [1]. The energy industrial segment ($21.6M in Q1 2026) provides a stable base with ~20% growth targeted for 2026, while the thermal barrier segment ($16.3M in Q1 2026) is positioned for recovery as the company diversifies beyond GM and qualifies for data center and grid infrastructure applications [1]. Management targets adjusted EBITDA breakeven at $50M quarterly revenue in H2 2026, with sequential improvement expected each quarter.</w:t>
      </w:r>
    </w:p>
    <w:p>
      <w:pPr>
        <w:spacing w:after="120"/>
      </w:pPr>
      <w:r>
        <w:rPr>
          <w:rFonts w:ascii="Calibri" w:hAnsi="Calibri"/>
          <w:b w:val="0"/>
          <w:color w:val="3A4A28"/>
          <w:sz w:val="20"/>
        </w:rPr>
        <w:t>The bear case is substantial: ASPN trades at $6.32 per share, reflecting deep skepticism about the path to profitability. The company is burning cash with a -48.6% net margin and -42.4% ROE, and the timeline to sustained profitability depends on revenue recovery that remains uncertain [1]. Customer concentration risk was brutally exposed by the GM relationship — the company's largest customer unilaterally reduced orders, sending Q1 2026 revenue 52% below Q1 2025 levels ($37.9M vs $78.7M) [1]. The EV market faces headwinds from slower-than-expected adoption, potential policy changes on EV subsidies, and competition from alternative thermal management technologies. While the energy industrial business is stable, its ~$22M quarterly run rate is insufficient to support the cost structure built for a $450M+ revenue base. At current burn rates, the $175.6M cash position provides approximately 18-24 months of runway before the company would need to seek additional financing, potentially diluting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Thermal barrier customer diversification beyond GM, with potential new OEM design wins validating the PyroThin technology platform and reducing single-customer dependency [1]</w:t>
      </w:r>
    </w:p>
    <w:p>
      <w:pPr>
        <w:spacing w:before="40" w:after="40"/>
        <w:ind w:left="283"/>
      </w:pPr>
      <w:r>
        <w:rPr>
          <w:rFonts w:ascii="Calibri" w:hAnsi="Calibri"/>
          <w:b/>
          <w:color w:val="4A6B25"/>
          <w:sz w:val="20"/>
        </w:rPr>
        <w:t xml:space="preserve">2. </w:t>
      </w:r>
      <w:r>
        <w:rPr>
          <w:rFonts w:ascii="Calibri" w:hAnsi="Calibri"/>
          <w:b w:val="0"/>
          <w:color w:val="3A4A28"/>
          <w:sz w:val="20"/>
        </w:rPr>
        <w:t>Achievement of adjusted EBITDA breakeven at $50M quarterly revenue in H2 2026, demonstrating the restructured cost base can generate returns and re-rating the equity [1]</w:t>
      </w:r>
    </w:p>
    <w:p>
      <w:pPr>
        <w:spacing w:before="40" w:after="40"/>
        <w:ind w:left="283"/>
      </w:pPr>
      <w:r>
        <w:rPr>
          <w:rFonts w:ascii="Calibri" w:hAnsi="Calibri"/>
          <w:b/>
          <w:color w:val="4A6B25"/>
          <w:sz w:val="20"/>
        </w:rPr>
        <w:t xml:space="preserve">3. </w:t>
      </w:r>
      <w:r>
        <w:rPr>
          <w:rFonts w:ascii="Calibri" w:hAnsi="Calibri"/>
          <w:b w:val="0"/>
          <w:color w:val="3A4A28"/>
          <w:sz w:val="20"/>
        </w:rPr>
        <w:t>Data center and grid infrastructure qualification wins generating first revenue in 2026, opening a substantial new addressable market for aerogel thermal management as AI compute buildout accelerates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EV market headwinds and slower-than-expected OEM adoption of thermal barrier technology could extend the timeline to profitability beyond H2 2026, pressuring the $175.6M cash position toward dilutive financing [1]</w:t>
      </w:r>
    </w:p>
    <w:p>
      <w:pPr>
        <w:spacing w:before="40" w:after="40"/>
        <w:ind w:left="283"/>
      </w:pPr>
      <w:r>
        <w:rPr>
          <w:rFonts w:ascii="Calibri" w:hAnsi="Calibri"/>
          <w:b/>
          <w:color w:val="4A6B25"/>
          <w:sz w:val="20"/>
        </w:rPr>
        <w:t xml:space="preserve">2. </w:t>
      </w:r>
      <w:r>
        <w:rPr>
          <w:rFonts w:ascii="Calibri" w:hAnsi="Calibri"/>
          <w:b w:val="0"/>
          <w:color w:val="3A4A28"/>
          <w:sz w:val="20"/>
        </w:rPr>
        <w:t>Customer concentration remains a structural risk — no major new thermal barrier OEM contracts have been publicly announced, and the GM experience demonstrated the fragility of single-customer dependency in a cyclical market [1]</w:t>
      </w:r>
    </w:p>
    <w:p>
      <w:pPr>
        <w:spacing w:before="40" w:after="40"/>
        <w:ind w:left="283"/>
      </w:pPr>
      <w:r>
        <w:rPr>
          <w:rFonts w:ascii="Calibri" w:hAnsi="Calibri"/>
          <w:b/>
          <w:color w:val="4A6B25"/>
          <w:sz w:val="20"/>
        </w:rPr>
        <w:t xml:space="preserve">3. </w:t>
      </w:r>
      <w:r>
        <w:rPr>
          <w:rFonts w:ascii="Calibri" w:hAnsi="Calibri"/>
          <w:b w:val="0"/>
          <w:color w:val="3A4A28"/>
          <w:sz w:val="20"/>
        </w:rPr>
        <w:t>At $37.9M quarterly revenue and ongoing cash burn, the company's financial runway is finite; failure to achieve sequential revenue growth targets could force strategic alternatives or equity raises at distressed valuations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Aspen Aerogels' core business — manufacturing advanced aerogel insulation materials for industrial energy infrastructure and EV thermal barriers — is structurally immune to AI disruption [3]. The business involves complex chemical engineering, proprietary manufacturing processes, physical material science, and safety-critical applications that AI cannot substitute. Aerogel production requires specialized equipment, deep materials expertise, and rigorous quality control for products that must prevent thermal runaway in EV batteries or insulate high-temperature industrial pipes. No analyst commentary suggests AI poses substitution risk to aerogel manufacturing. AI data center expansion may actually increase demand for the company's energy industrial insulation products as power infrastructure investment accelerates [1]. AI Opportunity (0/1): While Aspen Aerogels deploys AI internally for manufacturing yield optimization and predictive maintenance [2], the company does not generate revenue from AI-related products or services. Revenue comes entirely from physical aerogel insulation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Aspen Aerogels Q1 FY2026 Earnings Release and Financial Results — ir.aerogel.com, May 2026</w:t>
      </w:r>
    </w:p>
    <w:p>
      <w:pPr>
        <w:spacing w:before="20" w:after="20"/>
        <w:ind w:left="170"/>
      </w:pPr>
      <w:r>
        <w:rPr>
          <w:rFonts w:ascii="Calibri" w:hAnsi="Calibri"/>
          <w:b/>
          <w:color w:val="4A6B25"/>
          <w:sz w:val="15"/>
        </w:rPr>
        <w:t xml:space="preserve">2. </w:t>
      </w:r>
      <w:r>
        <w:rPr>
          <w:rFonts w:ascii="Calibri" w:hAnsi="Calibri"/>
          <w:b w:val="0"/>
          <w:color w:val="3A4A28"/>
          <w:sz w:val="17"/>
        </w:rPr>
        <w:t>Aspen Aerogels Leadership Team, CEO Don Young tenure, Strategic Direction — Highperformr.ai, TheOrg, Company Filings, 2025-2026</w:t>
      </w:r>
    </w:p>
    <w:p>
      <w:pPr>
        <w:spacing w:before="20" w:after="20"/>
        <w:ind w:left="170"/>
      </w:pPr>
      <w:r>
        <w:rPr>
          <w:rFonts w:ascii="Calibri" w:hAnsi="Calibri"/>
          <w:b/>
          <w:color w:val="4A6B25"/>
          <w:sz w:val="15"/>
        </w:rPr>
        <w:t xml:space="preserve">3. </w:t>
      </w:r>
      <w:r>
        <w:rPr>
          <w:rFonts w:ascii="Calibri" w:hAnsi="Calibri"/>
          <w:b w:val="0"/>
          <w:color w:val="3A4A28"/>
          <w:sz w:val="17"/>
        </w:rPr>
        <w:t>Aspen Aerogels Company Website — aerogel.com, Mission, Technology, and Applications,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Aspen Aerogels ESG Steering Committee Charter and Inaugural ESG Highlights Report — ir.aerogel.com, 2022-2023</w:t>
      </w:r>
    </w:p>
    <w:p>
      <w:pPr>
        <w:spacing w:before="20" w:after="20"/>
        <w:ind w:left="170"/>
      </w:pPr>
      <w:r>
        <w:rPr>
          <w:rFonts w:ascii="Calibri" w:hAnsi="Calibri"/>
          <w:b/>
          <w:color w:val="4A6B25"/>
          <w:sz w:val="15"/>
        </w:rPr>
        <w:t xml:space="preserve">5. </w:t>
      </w:r>
      <w:r>
        <w:rPr>
          <w:rFonts w:ascii="Calibri" w:hAnsi="Calibri"/>
          <w:b w:val="0"/>
          <w:color w:val="3A4A28"/>
          <w:sz w:val="17"/>
        </w:rPr>
        <w:t>Aspen Aerogels Insider Trading Activity and Stock Data — InsiderScreener, Yahoo Finance, StockAnalysis,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