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ATI</w:t>
      </w:r>
      <w:r>
        <w:rPr>
          <w:rFonts w:ascii="Calibri" w:hAnsi="Calibri"/>
          <w:b/>
          <w:color w:val="1A2010"/>
          <w:sz w:val="40"/>
        </w:rPr>
        <w:t xml:space="preserve">  ATI Inc.</w:t>
      </w:r>
    </w:p>
    <w:p>
      <w:pPr>
        <w:spacing w:after="120"/>
      </w:pPr>
      <w:r>
        <w:rPr>
          <w:rFonts w:ascii="Calibri" w:hAnsi="Calibri"/>
          <w:b/>
          <w:color w:val="6E8450"/>
          <w:sz w:val="18"/>
        </w:rPr>
        <w:t>GROWTH SLEEVE · 2026-07-18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Industrial Materials · NYSE · United States</w:t>
      </w:r>
    </w:p>
    <w:p>
      <w:pPr>
        <w:spacing w:after="80"/>
      </w:pPr>
      <w:r>
        <w:rPr>
          <w:rFonts w:ascii="Calibri" w:hAnsi="Calibri"/>
          <w:b w:val="0"/>
          <w:color w:val="3A4A28"/>
          <w:sz w:val="20"/>
        </w:rPr>
        <w:t>ATI Inc. (formerly Allegheny Technologies) is a producer of high-performance specialty materials — titanium and titanium alloys, nickel-based superalloys, and specialty steels — for the global aerospace and defense, electronics, medical, and specialty energy markets. Aerospace and defense represented 68% of full-year 2025 sales, up from a 65% prior target, as the company has spent the past decade repositioning away from commodity metals toward differentiated, safety-critical aerospace materials. Headquartered in Dallas, Texas.</w:t>
      </w:r>
    </w:p>
    <w:p>
      <w:r>
        <w:rPr>
          <w:rFonts w:ascii="Calibri" w:hAnsi="Calibri"/>
          <w:b/>
          <w:color w:val="6E8450"/>
          <w:sz w:val="18"/>
        </w:rPr>
        <w:t>7,600 Employees · https://www.atimaterials.com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ATI has executed a multi-year portfolio transformation from a diversified specialty-metals/steel producer into an aerospace-and-defense-focused materials leader, delivering FY2025 revenue of $4.6B — its highest level in 14 years — while lifting the aerospace/defense sales mix to 68% of the total, above its own 65% target [1]. AI Deployment (0/2): No evidence of AI-powered products or quantified AI-driven efficiency gains was found. Market Share (2/2): Order backlog reached an all-time high of $4.1B in Q1 2026, up 10% sequentially, with lead times extending for premium-quality titanium as customers secure long-term capacity — specific, quantified evidence of demand leadership [2]. Product Pipeline (2/2): Titanium melt-capacity expansion begun in 2024 is backed by specific customer long-term commitments, with lead times extending for differentiated products, providing dated capacity/revenue visibility [1][2]. R&amp;D Intensity (0/1): No specific R&amp;D-as-%-of-revenue figure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ATI's public messaging centers on 'Do What's Right' ethics/compliance and 'leveraging technology leadership' — operationally framed and not distinctively differentiated from peer aerospace materials suppliers [3]. Community Impact (0/2): No specific dollar-quantified charitable or community investment programs were identified. Employee Retention (0/2): Employee feedback describes 'uneven' communication and management layers, with 'concerns about top-down decisions and limited follow-through on employee input' and 'perceptions of senior leadership support often muted' [3]. Insider Buying (0/2): No insider stock-purchase data was found; recent board additions (Elizabeth Lund, ex-Boeing; Jean Lydon-Rodgers, ex-GE Aviation Services CEO) strengthen aerospace expertise but are not insider buying evidence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ROE of 22.7% clears the 15% target (score capped at 1.0, 2x weight), and D/E of 96.9% scores 0.88 against the 70%/300% target/floor. Revenue grew 5.2% YoY (FY2025 $4.587B vs FY2024 $4.362B) and at a 6.2% 3-year CAGR (FY2022 $3.836B to FY2025 $4.587B), both moderate against the 10% target [1]. Profit margin of 9.3% is roughly midway to the 20% target, while Forward P/E of 34.1x and Forward PEG of 1.33 (2x weight) reflect a premium valuation for the aerospace growth story. Liquidity is not a constraint: $186.17 price x 1.79M average daily volume ≈ $333.2M/day,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ATI shows real evidence of infinite-game thinking in its decade-long portfolio transformation toward aerospace and defense materials, backed by patient capital investment in titanium melt capacity ahead of confirmed demand. However, internal culture signals point to uneven trust between leadership and employees, and the company's aerospace-safety mission, while genuine, has not yet been articulated as a resilient Just Cause independent of financial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ATI's decade-long repositioning toward materials that enable safe flight and national defense capability connects its work to a purpose larger than quarterly results, and leadership references this focus consistently in aerospace/defense mix targets, but the cause has not yet been tested through a full economic cycle or articulated with the resilience Sinek requires for a top score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employee feedback cites uneven communication, limited follow-through on employee input, and muted perceptions of senior leadership support — signals of an organization that has not yet built a strong circle of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ATI publicly framing competitors' strengths as a source of self-improvement; available commentary centers on backlog and capacity execution rather than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ATI fundamentally reinvented itself over the past decade, moving from a diversified specialty-metals and steel producer toward a focused aerospace-and-defense materials company now generating 68% of sales from that end market — a genuine, multi-year strategic transformation rather than an incremental adjustment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ATI committed to titanium melt-capacity expansion beginning in 2024 ahead of fully proven demand, backed by customer long-term commitments, and deliberately shifted its portfolio mix away from lower-margin commodity products toward aerospace/defense — a pattern of costly, long-horizon capital bets rather than short-term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ATI delivered its highest revenue in 14 years in FY2025 ($4.6B) and followed with a strong Q1 2026 — $1.15B revenue (69% aerospace/defense), adjusted EBITDA of $232M (up 19% YoY) above the high end of guidance, and adjusted EBITDA margin up more than 300bps YoY to 20% [1]. Order backlog reached an all-time high of $4.1B, up 10% sequentially, with lead times extending for premium titanium as aerospace and defense customers secure long-term capacity — strong evidence of durable, multi-year demand visibility [2]. The decade-long strategic repositioning toward aerospace/defense materials (now 68% of sales), reinforced by the addition of veteran Boeing and GE Aviation Services executives to the board, and a business model that is structurally immune to AI disruption support a constructive long-term view [1][4].</w:t>
      </w:r>
    </w:p>
    <w:p>
      <w:pPr>
        <w:spacing w:after="120"/>
      </w:pPr>
      <w:r>
        <w:rPr>
          <w:rFonts w:ascii="Calibri" w:hAnsi="Calibri"/>
          <w:b w:val="0"/>
          <w:color w:val="3A4A28"/>
          <w:sz w:val="20"/>
        </w:rPr>
        <w:t>Valuation is the primary tension: Forward P/E of 34.1x and trailing P/E above 60x price in continued execution, while ROE of 22.7% and 9.3% profit margin are solid but D/E of 96.9% remains above the IOWN 70% target. Revenue growth of 5.2% YoY is modest relative to the backlog acceleration, implying the company is still converting bookings into shipped revenue with a lag. Culture data points to uneven internal communication and limited follow-through on employee input, and neither community investment nor insider buying evidence was found, leaving Inspiration at just 1/10 despite a genuine, multi-year strategic transformation story reflected in strong Infinite Game (6/10) and Innovation (7/10)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conversion of the record $4.1B order backlog into shipped revenue as titanium melt capacity expansion (begun 2024) comes fully online</w:t>
      </w:r>
    </w:p>
    <w:p>
      <w:pPr>
        <w:spacing w:before="40" w:after="40"/>
        <w:ind w:left="283"/>
      </w:pPr>
      <w:r>
        <w:rPr>
          <w:rFonts w:ascii="Calibri" w:hAnsi="Calibri"/>
          <w:b/>
          <w:color w:val="4A6B25"/>
          <w:sz w:val="20"/>
        </w:rPr>
        <w:t xml:space="preserve">2. </w:t>
      </w:r>
      <w:r>
        <w:rPr>
          <w:rFonts w:ascii="Calibri" w:hAnsi="Calibri"/>
          <w:b w:val="0"/>
          <w:color w:val="3A4A28"/>
          <w:sz w:val="20"/>
        </w:rPr>
        <w:t>Further aerospace/defense mix expansion beyond the current 68% of sales as commercial aircraft build rates recover and defense budgets remain elevated</w:t>
      </w:r>
    </w:p>
    <w:p>
      <w:pPr>
        <w:spacing w:before="40" w:after="40"/>
        <w:ind w:left="283"/>
      </w:pPr>
      <w:r>
        <w:rPr>
          <w:rFonts w:ascii="Calibri" w:hAnsi="Calibri"/>
          <w:b/>
          <w:color w:val="4A6B25"/>
          <w:sz w:val="20"/>
        </w:rPr>
        <w:t xml:space="preserve">3. </w:t>
      </w:r>
      <w:r>
        <w:rPr>
          <w:rFonts w:ascii="Calibri" w:hAnsi="Calibri"/>
          <w:b w:val="0"/>
          <w:color w:val="3A4A28"/>
          <w:sz w:val="20"/>
        </w:rPr>
        <w:t>Additional long-term customer capacity commitments extending lead times further, reinforcing pricing power on premium titanium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(34.1x forward P/E) leaves limited margin of safety if aerospace build-rate recovery or defense order timing disappoints</w:t>
      </w:r>
    </w:p>
    <w:p>
      <w:pPr>
        <w:spacing w:before="40" w:after="40"/>
        <w:ind w:left="283"/>
      </w:pPr>
      <w:r>
        <w:rPr>
          <w:rFonts w:ascii="Calibri" w:hAnsi="Calibri"/>
          <w:b/>
          <w:color w:val="4A6B25"/>
          <w:sz w:val="20"/>
        </w:rPr>
        <w:t xml:space="preserve">2. </w:t>
      </w:r>
      <w:r>
        <w:rPr>
          <w:rFonts w:ascii="Calibri" w:hAnsi="Calibri"/>
          <w:b w:val="0"/>
          <w:color w:val="3A4A28"/>
          <w:sz w:val="20"/>
        </w:rPr>
        <w:t>D/E of 96.9% remains above the IOWN 70% target, constraining balance-sheet flexibility during a period of heavy capacity investment</w:t>
      </w:r>
    </w:p>
    <w:p>
      <w:pPr>
        <w:spacing w:before="40" w:after="40"/>
        <w:ind w:left="283"/>
      </w:pPr>
      <w:r>
        <w:rPr>
          <w:rFonts w:ascii="Calibri" w:hAnsi="Calibri"/>
          <w:b/>
          <w:color w:val="4A6B25"/>
          <w:sz w:val="20"/>
        </w:rPr>
        <w:t xml:space="preserve">3. </w:t>
      </w:r>
      <w:r>
        <w:rPr>
          <w:rFonts w:ascii="Calibri" w:hAnsi="Calibri"/>
          <w:b w:val="0"/>
          <w:color w:val="3A4A28"/>
          <w:sz w:val="20"/>
        </w:rPr>
        <w:t>Internal culture signals (uneven communication, limited employee-input follow-through) create execution risk as the company scales capacity to meet record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ATI produces physical, safety-certified aerospace and defense materials (titanium, nickel superalloys) requiring years-long qualification processes and capital-intensive melt/forming capacity — a business structurally immune to AI substitution, and one where AI-driven data-center and defense-electronics demand growth is a net tailwind for materials consumption rather than a threat. AI Opportunity (0/1): No quantifiable AI-related revenue was identified; ATI is a physical-materials supplier to AI-adjacent end markets (data centers, defense electronics) rather than a direct AI product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ATI Inc. Q1 2026 Earnings Call and Results — GuruFocus, Investing.com, StockTitan, April-May 2026</w:t>
      </w:r>
    </w:p>
    <w:p>
      <w:pPr>
        <w:spacing w:before="20" w:after="20"/>
        <w:ind w:left="170"/>
      </w:pPr>
      <w:r>
        <w:rPr>
          <w:rFonts w:ascii="Calibri" w:hAnsi="Calibri"/>
          <w:b/>
          <w:color w:val="4A6B25"/>
          <w:sz w:val="15"/>
        </w:rPr>
        <w:t xml:space="preserve">2. </w:t>
      </w:r>
      <w:r>
        <w:rPr>
          <w:rFonts w:ascii="Calibri" w:hAnsi="Calibri"/>
          <w:b w:val="0"/>
          <w:color w:val="3A4A28"/>
          <w:sz w:val="17"/>
        </w:rPr>
        <w:t>ATI Inc. Order Backlog and Aerospace/Defense Mix Coverage — ad-hoc-news.de, PitchBook, StockTitan, 2026</w:t>
      </w:r>
    </w:p>
    <w:p>
      <w:pPr>
        <w:spacing w:before="20" w:after="20"/>
        <w:ind w:left="170"/>
      </w:pPr>
      <w:r>
        <w:rPr>
          <w:rFonts w:ascii="Calibri" w:hAnsi="Calibri"/>
          <w:b/>
          <w:color w:val="4A6B25"/>
          <w:sz w:val="15"/>
        </w:rPr>
        <w:t xml:space="preserve">3. </w:t>
      </w:r>
      <w:r>
        <w:rPr>
          <w:rFonts w:ascii="Calibri" w:hAnsi="Calibri"/>
          <w:b w:val="0"/>
          <w:color w:val="3A4A28"/>
          <w:sz w:val="17"/>
        </w:rPr>
        <w:t>ATI Inc. Culture and ESG Reporting — Built In, ati-global.com ESG page, ATI 2023 Corporate Responsibility Report</w:t>
      </w:r>
    </w:p>
    <w:p>
      <w:pPr>
        <w:spacing w:before="20" w:after="20"/>
        <w:ind w:left="170"/>
      </w:pPr>
      <w:r>
        <w:rPr>
          <w:rFonts w:ascii="Calibri" w:hAnsi="Calibri"/>
          <w:b/>
          <w:color w:val="4A6B25"/>
          <w:sz w:val="15"/>
        </w:rPr>
        <w:t xml:space="preserve">4. </w:t>
      </w:r>
      <w:r>
        <w:rPr>
          <w:rFonts w:ascii="Calibri" w:hAnsi="Calibri"/>
          <w:b w:val="0"/>
          <w:color w:val="3A4A28"/>
          <w:sz w:val="17"/>
        </w:rPr>
        <w:t>ATI names aerospace leaders to Board to drive growth — StreetInsider/Morningstar/PRNewswire, September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QuoteSummary — ATI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