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ATPC</w:t>
      </w:r>
      <w:r>
        <w:rPr>
          <w:rFonts w:ascii="Calibri" w:hAnsi="Calibri"/>
          <w:b/>
          <w:color w:val="1A2010"/>
          <w:sz w:val="40"/>
        </w:rPr>
        <w:t xml:space="preserve">  Agape ATP Corporation</w:t>
      </w:r>
    </w:p>
    <w:p>
      <w:pPr>
        <w:spacing w:after="120"/>
      </w:pPr>
      <w:r>
        <w:rPr>
          <w:rFonts w:ascii="Calibri" w:hAnsi="Calibri"/>
          <w:b/>
          <w:color w:val="6E8450"/>
          <w:sz w:val="18"/>
        </w:rPr>
        <w:t>GROWTH SLEEVE · 2026-07-15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Health &amp; Wellness Products · NASDAQ · Malaysia</w:t>
      </w:r>
    </w:p>
    <w:p>
      <w:pPr>
        <w:spacing w:after="80"/>
      </w:pPr>
      <w:r>
        <w:rPr>
          <w:rFonts w:ascii="Calibri" w:hAnsi="Calibri"/>
          <w:b w:val="0"/>
          <w:color w:val="3A4A28"/>
          <w:sz w:val="20"/>
        </w:rPr>
        <w:t>Agape ATP Corporation is a Malaysia-based investment holding company supplying health and wellness products, skin care, and health solution advisory services through a network-marketing model. The company also provides renewable energy products, installations, and maintenance services through subsidiary ATPC Green Energy. Listed on NASDAQ in 2023, it serves approximately 56,000 distributors and 72,000 members. Market cap is approximately $2.6M.</w:t>
      </w:r>
    </w:p>
    <w:p>
      <w:r>
        <w:rPr>
          <w:rFonts w:ascii="Calibri" w:hAnsi="Calibri"/>
          <w:b/>
          <w:color w:val="6E8450"/>
          <w:sz w:val="18"/>
        </w:rPr>
        <w:t>18 Employees · https://www.atpc.com.my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ATPC has not launched any meaningful new products or business model transformations in the last 5 years — revenue collapsed from $5.7M in 2020 to $1.5M in 2025, a 73% decline [1]. The green energy segment and Citadel Investment LLC oil trading collaboration remain aspirational with no material revenue contribution. AI Deployment (0/2): No evidence of AI deployment in products or operations; the company has 18 employees and operates a traditional network-marketing distribution model in Malaysia [2]. Market Share (1/2): ATPC serves 56,465 distributors and 72,201 members in Malaysia's health and wellness market, but with only $1.5M in revenue it holds negligible share in a fragmented industry [1]. Pipeline (0/2): The planned digital wellness platform, renewable energy expansion, and oil/gas trading lack specific timelines, revenue visibility, or product details [1][2]. R&amp;D Intensity (1/1): The company claims investment in ionized nutrients and health formulas relative to its tiny revenue base, though specific R&amp;D spending is not disclosed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ATPC's mission to 'promote improved health and longevity through scientific innovation, modern medicine, proper nutrition, and skilled nutritionists' is specific to its domain and articulates a health-improvement purpose [2]. However, the network-marketing model and diversification into oil trading raise questions about whether the mission drives strategy or serves as marketing. Community Impact (1/2): The company promotes wellness through online editorials, programs, events, and campaigns, and the Agape name itself references charitable love, but no specific dollar amounts or distinctive community investment are documented [2]. Employee Retention (0/2): With only 18 full-time employees and no retention data available, this item cannot be scored [1]. Insider Buying (0/2): No evidence of meaningful insider buying; the recent approval of 46 million new shares at $0.50 each represents massive dilution rather than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30,735 shares x stock price of $2.60 = $79,911, far below the $1,000,000 minimum liquidity threshold [3]. Infrastructure score is automatically set to 0 regardless of other metrics. Underlying financials remain deeply distressed: Q1 2026 revenue of $273,658 with net loss of $340,906 (improved from $712,919 YoY), resulting in a TTM profit margin of -128% [1]. Cash on hand was just $220,779 with negative operating cash flow of -$394,770, and auditors issued a going concern qualification [1]. The $24.1M deposit with Bi Cheng Investment Management represents 97% of total assets, creating extreme counterparty concentration risk. The 52-week range of $1.72 to $75.00 reflects extreme penny stock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ATPC shows limited evidence of infinite game thinking. The company is focused on survival — regaining NASDAQ compliance, authorizing massive share dilution, and exploring new revenue streams like green energy and oil trading while the core health business shrinks. Strategic decisions appear reactive rather than purpose-driven, and the frequent pivots to new segments suggest opportunism rather than a consistent long-term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ATPC articulates a cause around health and longevity through scientific innovation, but the rapid expansion into unrelated areas — green energy and oil/gas petrochemical trading with Citadel Investment LLC — suggests the cause is not shaping strategic decisions [2]. A company genuinely committed to health innovation would not pivot to petroleum trading. The cause reads as marketing rather than a strategic compass.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18 full-time employees and a heavy reliance on 56,000+ independent distributors, ATPC has minimal internal organizational structure to evaluate for trust [1]. The network-marketing model inherently creates external contractor relationships rather than empowered teams. Multiple material weaknesses in internal controls over financial reporting suggest governance challenges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ATPC acknowledging or learning from competitors in the Malaysian health and wellness market. The company's strategic language focuses on expanding into new segments (green energy, oil trading) rather than improving core health and wellness capabilities relative to competitors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ATPC has expanded beyond its original health and wellness focus into green energy and cross-border petrochemical trading with Dubai-based Citadel Investment LLC [2][3]. While this demonstrates willingness to explore new business models, the pivots appear opportunistic rather than purpose-driven — the health-to-oil-trading shift is disconnected from the founding cause. Sinek would distinguish between existential flexibility (pivoting to advance the cause) and strategic wandering.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results for long-term capability [1]. The NASDAQ listing in 2023 was an ambitious move for a Malaysian micro-cap, but the company's subsequent financial deterioration (going concern, negative cash flow) suggests the capital raise has not translated into strategic investment. The authorization of 46 million new shares at $0.50 prioritizes survival over building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ATPC is a micro-cap ($2.6M market cap) Malaysian health and wellness company showing early signs of financial improvement — Q1 2026 net loss narrowed to $340,906 from $712,919 YoY, aided by exchange gains and securities income [1]. TTM revenue of $1.51M grew 16.7% YoY, and gross margin of 55.8% is healthy for a consumer products company. The debt-free balance sheet ($23M cash vs $248K debt) and established distributor network of 56,000+ members provide a foundation for potential recovery. The collaboration with Citadel Investment LLC on cross-border oil/gas trading and the ATPC Green Energy segment could open new revenue streams [2].</w:t>
      </w:r>
    </w:p>
    <w:p>
      <w:pPr>
        <w:spacing w:after="120"/>
      </w:pPr>
      <w:r>
        <w:rPr>
          <w:rFonts w:ascii="Calibri" w:hAnsi="Calibri"/>
          <w:b w:val="0"/>
          <w:color w:val="3A4A28"/>
          <w:sz w:val="20"/>
        </w:rPr>
        <w:t>The bear case is overwhelming. Operating expenses of $836,781 per quarter dwarf quarterly revenue of $273,658, making profitability a distant prospect [1]. The company carries a going concern qualification with just $220,779 in operating cash and negative operating cash flow. The $24.1M deposit with Bi Cheng Investment Management represents 97% of total assets and creates extreme concentration risk with limited transparency [1]. NASDAQ non-compliance with the $1.00 minimum bid price requirement threatens delisting [3]. Average daily trading volume of only 30,735 shares ($80K daily dollar volume) makes position entry/exit extremely difficult. The authorization of 46 million new shares at $0.50 represents catastrophic dilution risk on a $2.6M market cap. With 18 employees, no analyst coverage, and no clear path to profitability, this is a speculative micro-cap unsuitable for institutional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Green energy segment and Citadel Investment LLC collaboration for cross-border oil/gas trading could generate new revenue streams, though no timelines or financial projections have been provided [2]</w:t>
      </w:r>
    </w:p>
    <w:p>
      <w:pPr>
        <w:spacing w:before="40" w:after="40"/>
        <w:ind w:left="283"/>
      </w:pPr>
      <w:r>
        <w:rPr>
          <w:rFonts w:ascii="Calibri" w:hAnsi="Calibri"/>
          <w:b/>
          <w:color w:val="4A6B25"/>
          <w:sz w:val="20"/>
        </w:rPr>
        <w:t xml:space="preserve">2. </w:t>
      </w:r>
      <w:r>
        <w:rPr>
          <w:rFonts w:ascii="Calibri" w:hAnsi="Calibri"/>
          <w:b w:val="0"/>
          <w:color w:val="3A4A28"/>
          <w:sz w:val="20"/>
        </w:rPr>
        <w:t>Continued revenue growth trajectory (16.7% YoY) with improving gross margins and narrowing net losses could eventually close the gap with operating expenses [1]</w:t>
      </w:r>
    </w:p>
    <w:p>
      <w:pPr>
        <w:spacing w:before="40" w:after="40"/>
        <w:ind w:left="283"/>
      </w:pPr>
      <w:r>
        <w:rPr>
          <w:rFonts w:ascii="Calibri" w:hAnsi="Calibri"/>
          <w:b/>
          <w:color w:val="4A6B25"/>
          <w:sz w:val="20"/>
        </w:rPr>
        <w:t xml:space="preserve">3. </w:t>
      </w:r>
      <w:r>
        <w:rPr>
          <w:rFonts w:ascii="Calibri" w:hAnsi="Calibri"/>
          <w:b w:val="0"/>
          <w:color w:val="3A4A28"/>
          <w:sz w:val="20"/>
        </w:rPr>
        <w:t>Resolution of NASDAQ bid price non-compliance through reverse stock split or sustained price appreciation would remove the immediate delisting overhang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qualification with $220,779 operating cash and -$394,770 operating cash flow creates existential risk of insolvency or forced dilution within 12 months [1]</w:t>
      </w:r>
    </w:p>
    <w:p>
      <w:pPr>
        <w:spacing w:before="40" w:after="40"/>
        <w:ind w:left="283"/>
      </w:pPr>
      <w:r>
        <w:rPr>
          <w:rFonts w:ascii="Calibri" w:hAnsi="Calibri"/>
          <w:b/>
          <w:color w:val="4A6B25"/>
          <w:sz w:val="20"/>
        </w:rPr>
        <w:t xml:space="preserve">2. </w:t>
      </w:r>
      <w:r>
        <w:rPr>
          <w:rFonts w:ascii="Calibri" w:hAnsi="Calibri"/>
          <w:b w:val="0"/>
          <w:color w:val="3A4A28"/>
          <w:sz w:val="20"/>
        </w:rPr>
        <w:t>NASDAQ non-compliance with minimum bid price requirement may result in delisting, severely impairing liquidity for an already illiquid stock trading $80K daily dollar volume [3]</w:t>
      </w:r>
    </w:p>
    <w:p>
      <w:pPr>
        <w:spacing w:before="40" w:after="40"/>
        <w:ind w:left="283"/>
      </w:pPr>
      <w:r>
        <w:rPr>
          <w:rFonts w:ascii="Calibri" w:hAnsi="Calibri"/>
          <w:b/>
          <w:color w:val="4A6B25"/>
          <w:sz w:val="20"/>
        </w:rPr>
        <w:t xml:space="preserve">3. </w:t>
      </w:r>
      <w:r>
        <w:rPr>
          <w:rFonts w:ascii="Calibri" w:hAnsi="Calibri"/>
          <w:b w:val="0"/>
          <w:color w:val="3A4A28"/>
          <w:sz w:val="20"/>
        </w:rPr>
        <w:t>$24.1M deposit with Bi Cheng Investment Management represents 97% of total assets — concentration risk in a single counterparty with limited public transparency on investment performance or recovery terms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ATPC's core health and wellness network-marketing business has mixed AI exposure. The physical products — ionized nutrients, supplements, skincare — cannot be replaced by AI [2]. However, the network-marketing distribution model that is central to ATPC's revenue generation faces substitution risk from AI-powered health advisory apps, personalized nutrition platforms, and AI health coaches that could bypass human distributors [2]. The green energy segment (solar installations, maintenance) involves physical work that AI cannot replace. The company's tiny scale (18 employees, $1.5M revenue) limits its ability to invest in defensive AI capabilities, and AI-powered e-commerce platforms could further compress margins for undifferentiated supplement distributors [1]. AI Opportunity (0/1): No evidence of AI product development or AI-generated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Agape ATP Corporation Q1 2026 10-Q Filing — $273,658 revenue, $340,906 net loss, going concern qualification, via StockTitan, 2026</w:t>
      </w:r>
    </w:p>
    <w:p>
      <w:pPr>
        <w:spacing w:before="20" w:after="20"/>
        <w:ind w:left="170"/>
      </w:pPr>
      <w:r>
        <w:rPr>
          <w:rFonts w:ascii="Calibri" w:hAnsi="Calibri"/>
          <w:b/>
          <w:color w:val="4A6B25"/>
          <w:sz w:val="15"/>
        </w:rPr>
        <w:t xml:space="preserve">2. </w:t>
      </w:r>
      <w:r>
        <w:rPr>
          <w:rFonts w:ascii="Calibri" w:hAnsi="Calibri"/>
          <w:b w:val="0"/>
          <w:color w:val="3A4A28"/>
          <w:sz w:val="17"/>
        </w:rPr>
        <w:t>Agape ATP Corporation website, press releases, and company profile — mission, product lines, Citadel Investment collaboration, ATPC Green Energy, atpc.com.my,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ATPC key statistics, $2.60 price, 30,735 avg daily volume, NASDAQ compliance status,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