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ATXG</w:t>
      </w:r>
      <w:r>
        <w:rPr>
          <w:rFonts w:ascii="Calibri" w:hAnsi="Calibri"/>
          <w:b/>
          <w:color w:val="1A2010"/>
          <w:sz w:val="40"/>
        </w:rPr>
        <w:t xml:space="preserve">  Addentax Group Corp.</w:t>
      </w:r>
    </w:p>
    <w:p>
      <w:pPr>
        <w:spacing w:after="120"/>
      </w:pPr>
      <w:r>
        <w:rPr>
          <w:rFonts w:ascii="Calibri" w:hAnsi="Calibri"/>
          <w:b/>
          <w:color w:val="6E8450"/>
          <w:sz w:val="18"/>
        </w:rPr>
        <w:t>GROWTH SLEEVE · 2026-07-22 · Inspire: 35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Integrated Freight &amp; Logistics · NASDAQ · China</w:t>
      </w:r>
    </w:p>
    <w:p>
      <w:pPr>
        <w:spacing w:after="80"/>
      </w:pPr>
      <w:r>
        <w:rPr>
          <w:rFonts w:ascii="Calibri" w:hAnsi="Calibri"/>
          <w:b w:val="0"/>
          <w:color w:val="3A4A28"/>
          <w:sz w:val="20"/>
        </w:rPr>
        <w:t>Addentax Group Corp., through its subsidiaries, provides logistics services, garment manufacturing, and property management and subleasing services in the People's Republic of China. The micro-cap company operates from Shenzhen across three business segments, with approximately $5.4M in trailing twelve-month revenue and a market capitalization under $4M.</w:t>
      </w:r>
    </w:p>
    <w:p>
      <w:r>
        <w:rPr>
          <w:rFonts w:ascii="Calibri" w:hAnsi="Calibri"/>
          <w:b/>
          <w:color w:val="6E8450"/>
          <w:sz w:val="18"/>
        </w:rPr>
        <w:t>https://www.addentax.com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Addentax has modestly diversified from garment manufacturing into logistics services and property management, and signed an MOU with Shenzhen Yingbin Brand Development Co. for nationwide supply chain cooperation — an incremental business extension [2]. No transformative product launches or business model pivots were identified. AI Deployment (0/2): No AI deployment, AI strategy, or technology innovation initiatives were identified in any research [2]. Market Share (0/2): A micro-cap company with $5.4M TTM revenue and under $4M market cap, Addentax has no meaningful market share in any of its three operating segments — logistics, garment manufacturing, or property management in China [3]. Product Pipeline (0/2): The Shenzhen Yingbin MOU is the only identified strategic initiative, but it lacks specific timelines, revenue targets, or product details [2]. R&amp;D Intensity (0/1): No R&amp;D activity or technology investment was identified.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No mission, purpose, or vision statement was found on the company's website or in public filings. Addentax does not articulate why it exists beyond operating its three business segments [3]. Community Impact (0/2): No evidence of charitable giving, community programs, or social impact initiatives was found for this micro-cap Chinese company. Employee Retention (0/2): No employee retention data, turnover rates, or cultural indicators were identified. Insider Buying (1/2): CEO Zhida Hong has been a consistent buyer of ATXG stock — multiple purchases documented including $38,000 in 2024 and $29,336 in 2025, demonstrating personal conviction in the company's future [2]. While the dollar amounts are small in absolute terms, they are meaningful relative to the company's $3.9M market cap.</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many data points unavailable. ATXG passes the liquidity floor with average daily volume of approximately 500,000 shares at $3.68 = $1.84M daily dollar volume [3]. However, nearly every financial metric is deeply distressed. TTM net profit margin of -83.2% reflects massive operating losses relative to the $5.4M revenue base [3]. ROE is negative due to sustained net losses. D/E, forward P/E, PEG ratio, and revenue growth CAGR are unavailable. Q1 2026 revenue growth of 15.3% to $980,954 is the sole positive data point, though this was offset by Q3 2025 revenue decline of 7.9% [1]. Full-year loss per share improved from $12.75 to $6.92, indicating narrowing losses but continued unprofitability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Addentax Group operates as a micro-cap Chinese conglomerate with no discernible Just Cause, limited strategic narrative, and minimal evidence of the organizational qualities Sinek associates with infinite game players. The company's diversification across three unrelated segments (garments, logistics, property) suggests opportunistic business development rather than cause-driven strategy. CEO Hong's personal stock purchases demonstrate belief in the company but do not constitute the kind of purposeful, values-driven leadership that defines infinite game organizations.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articulated purpose, mission, or vision statement was found for Addentax Group. The company's public communications describe its business segments factually without connecting them to any larger purpose or aspirational future state [3]. Sinek would see this as a company that exists to operate businesses, not to advance a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evidence of organizational culture, employee empowerment, or trust-building practices was found. The appointment of new COO Wu Rui in December 2025 brings fresh leadership, but no information about organizational stability, employee satisfaction, or cultural practices was available [2]. The company's micro-cap size and limited disclosure make cultural assessment impossible.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competitive language or rival acknowledgment was found in Addentax's public communications [3]. The company does not appear to position itself against specific competitors or reference competitive dynamics as motivation for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Addentax has expanded from garment manufacturing into logistics services and property management — demonstrating some willingness to evolve beyond a single business line [3]. The MOU with Shenzhen Yingbin for nationwide supply chain services suggests continued strategic exploration. However, this diversification may reflect opportunistic deal-making rather than a purposeful strategic pivot driven by a Just Cause, and the company's small scale limits the significance of these moves.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 investing during downturns, walking away from misaligned revenue, or making principled stances that cost money — was found [2]. CEO Hong's small stock purchases demonstrate personal belief but do not constitute the kind of leadership courage Sinek describes. The company's continued operating losses without a clear turnaround plan do not reflect strategic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Addentax Group offers the only positive signal in its faith alignment — an ALIGNED Inspire score of 35 with no negative attributions — rare for public companies. CEO Zhida Hong has been a consistent insider buyer, purchasing stock multiple times in 2024-2025, demonstrating personal conviction [2]. The company's Q1 2026 revenue grew 15.3% YoY to $980,954, and the full-year loss per share narrowed significantly from $12.75 to $6.92, suggesting a trajectory toward reduced cash burn [1]. The MOU with Shenzhen Yingbin for nationwide supply chain services could open a new growth vector if executed successfully.</w:t>
      </w:r>
    </w:p>
    <w:p>
      <w:pPr>
        <w:spacing w:after="120"/>
      </w:pPr>
      <w:r>
        <w:rPr>
          <w:rFonts w:ascii="Calibri" w:hAnsi="Calibri"/>
          <w:b w:val="0"/>
          <w:color w:val="3A4A28"/>
          <w:sz w:val="20"/>
        </w:rPr>
        <w:t>The fundamental problems are severe. Addentax generates only $5.4M in TTM revenue with a -83.2% net profit margin, burning cash with no clear path to profitability [3]. The $3.9M market cap and 6 million shares outstanding make this a micro-cap with extreme volatility risk and minimal institutional interest. Financial disclosure is limited — D/E ratio, ROE, and forward estimates are unavailable, making fundamental analysis nearly impossible. The three-segment business model (garments, logistics, property management) lacks strategic coherence or competitive advantage in any segment. Chinese micro-cap stocks listed on NASDAQ carry additional risks including regulatory uncertainty, VIE structure concerns, and limited shareholder protections. No AI capabilities, no R&amp;D investment, and no discernible competitive moat make this unsuitable for IOWN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Shenzhen Yingbin MOU execution could create a nationwide supply chain platform generating meaningful revenue growth beyond the current $5.4M base</w:t>
      </w:r>
    </w:p>
    <w:p>
      <w:pPr>
        <w:spacing w:before="40" w:after="40"/>
        <w:ind w:left="283"/>
      </w:pPr>
      <w:r>
        <w:rPr>
          <w:rFonts w:ascii="Calibri" w:hAnsi="Calibri"/>
          <w:b/>
          <w:color w:val="4A6B25"/>
          <w:sz w:val="20"/>
        </w:rPr>
        <w:t xml:space="preserve">2. </w:t>
      </w:r>
      <w:r>
        <w:rPr>
          <w:rFonts w:ascii="Calibri" w:hAnsi="Calibri"/>
          <w:b w:val="0"/>
          <w:color w:val="3A4A28"/>
          <w:sz w:val="20"/>
        </w:rPr>
        <w:t>Continued narrowing of operating losses toward breakeven — the trajectory from $12.75 to $6.92 loss per share suggests improving unit economics</w:t>
      </w:r>
    </w:p>
    <w:p>
      <w:pPr>
        <w:spacing w:before="40" w:after="40"/>
        <w:ind w:left="283"/>
      </w:pPr>
      <w:r>
        <w:rPr>
          <w:rFonts w:ascii="Calibri" w:hAnsi="Calibri"/>
          <w:b/>
          <w:color w:val="4A6B25"/>
          <w:sz w:val="20"/>
        </w:rPr>
        <w:t xml:space="preserve">3. </w:t>
      </w:r>
      <w:r>
        <w:rPr>
          <w:rFonts w:ascii="Calibri" w:hAnsi="Calibri"/>
          <w:b w:val="0"/>
          <w:color w:val="3A4A28"/>
          <w:sz w:val="20"/>
        </w:rPr>
        <w:t>CEO insider buying pattern provides some confidence that management expects improvement — Hong has been buying consistently across multiple quarters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Micro-cap with $3.9M market cap and $5.4M revenue generates no operating profit, with -83.2% net margin and no credible near-term path to profitability</w:t>
      </w:r>
    </w:p>
    <w:p>
      <w:pPr>
        <w:spacing w:before="40" w:after="40"/>
        <w:ind w:left="283"/>
      </w:pPr>
      <w:r>
        <w:rPr>
          <w:rFonts w:ascii="Calibri" w:hAnsi="Calibri"/>
          <w:b/>
          <w:color w:val="4A6B25"/>
          <w:sz w:val="20"/>
        </w:rPr>
        <w:t xml:space="preserve">2. </w:t>
      </w:r>
      <w:r>
        <w:rPr>
          <w:rFonts w:ascii="Calibri" w:hAnsi="Calibri"/>
          <w:b w:val="0"/>
          <w:color w:val="3A4A28"/>
          <w:sz w:val="20"/>
        </w:rPr>
        <w:t>Chinese NASDAQ-listed micro-cap carries elevated regulatory, governance, and delisting risk — SEC enforcement actions on Chinese companies have increased, and limited financial transparency prevents meaningful due diligence</w:t>
      </w:r>
    </w:p>
    <w:p>
      <w:pPr>
        <w:spacing w:before="40" w:after="40"/>
        <w:ind w:left="283"/>
      </w:pPr>
      <w:r>
        <w:rPr>
          <w:rFonts w:ascii="Calibri" w:hAnsi="Calibri"/>
          <w:b/>
          <w:color w:val="4A6B25"/>
          <w:sz w:val="20"/>
        </w:rPr>
        <w:t xml:space="preserve">3. </w:t>
      </w:r>
      <w:r>
        <w:rPr>
          <w:rFonts w:ascii="Calibri" w:hAnsi="Calibri"/>
          <w:b w:val="0"/>
          <w:color w:val="3A4A28"/>
          <w:sz w:val="20"/>
        </w:rPr>
        <w:t>No competitive moat, no AI capabilities, no R&amp;D investment, and no market share in any segment — the company could be displaced by better-capitalized competitors in any of its three business lines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Addentax's three operating segments — garment manufacturing, logistics services, and property management — are all physical-world operations that AI cannot directly substitute [3]. Garment manufacturing involves physical production processes, logistics requires trucks and warehouses, and property management involves physical building maintenance and tenant relations. These businesses have inherent physical moats. However, larger logistics competitors with AI-optimized routing and inventory management could outcompete Addentax's small-scale operations, and AI-driven supply chain platforms could disintermediate small logistics providers. The company's micro-cap scale provides no competitive buffer against technology-enabled competitors. AI Opportunity (0/1): No AI revenue, AI products, or AI capabilities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Addentax Group Q1 2026 Earnings and Full-Year Results — AInvest.com / DailyPolitical / TickerReport, 2026</w:t>
      </w:r>
    </w:p>
    <w:p>
      <w:pPr>
        <w:spacing w:before="20" w:after="20"/>
        <w:ind w:left="170"/>
      </w:pPr>
      <w:r>
        <w:rPr>
          <w:rFonts w:ascii="Calibri" w:hAnsi="Calibri"/>
          <w:b/>
          <w:color w:val="4A6B25"/>
          <w:sz w:val="15"/>
        </w:rPr>
        <w:t xml:space="preserve">2. </w:t>
      </w:r>
      <w:r>
        <w:rPr>
          <w:rFonts w:ascii="Calibri" w:hAnsi="Calibri"/>
          <w:b w:val="0"/>
          <w:color w:val="3A4A28"/>
          <w:sz w:val="17"/>
        </w:rPr>
        <w:t>Addentax Group CEO Insider Buying Reports and COO Appointment — Investing.com / Globe and Mail, 2024-2025</w:t>
      </w:r>
    </w:p>
    <w:p>
      <w:pPr>
        <w:spacing w:before="20" w:after="20"/>
        <w:ind w:left="170"/>
      </w:pPr>
      <w:r>
        <w:rPr>
          <w:rFonts w:ascii="Calibri" w:hAnsi="Calibri"/>
          <w:b/>
          <w:color w:val="4A6B25"/>
          <w:sz w:val="15"/>
        </w:rPr>
        <w:t xml:space="preserve">3. </w:t>
      </w:r>
      <w:r>
        <w:rPr>
          <w:rFonts w:ascii="Calibri" w:hAnsi="Calibri"/>
          <w:b w:val="0"/>
          <w:color w:val="3A4A28"/>
          <w:sz w:val="17"/>
        </w:rPr>
        <w:t>StockAnalysis / WallStreetZen — ATXG Company Profile,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