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AUB</w:t>
      </w:r>
      <w:r>
        <w:rPr>
          <w:rFonts w:ascii="Calibri" w:hAnsi="Calibri"/>
          <w:b/>
          <w:color w:val="1A2010"/>
          <w:sz w:val="40"/>
        </w:rPr>
        <w:t xml:space="preserve">  Atlantic Union Bankshares Corporation</w:t>
      </w:r>
    </w:p>
    <w:p>
      <w:pPr>
        <w:spacing w:after="120"/>
      </w:pPr>
      <w:r>
        <w:rPr>
          <w:rFonts w:ascii="Calibri" w:hAnsi="Calibri"/>
          <w:b/>
          <w:color w:val="6E8450"/>
          <w:sz w:val="18"/>
        </w:rPr>
        <w:t>DIVIDEND SLEEVE · 2026-08-07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Atlantic Union Bankshares Corporation is the holding company for Atlantic Union Bank, a Richmond, Virginia-based community bank with roots dating to 1902, providing commercial and consumer banking, wealth management, and treasury services across Virginia, Maryland, North Carolina, and Washington D.C. The 2025 acquisition of Sandy Spring Bancorp significantly expanded its Mid-Atlantic footprint under longtime CEO John Asbury.</w:t>
      </w:r>
    </w:p>
    <w:p>
      <w:r>
        <w:rPr>
          <w:rFonts w:ascii="Calibri" w:hAnsi="Calibri"/>
          <w:b/>
          <w:color w:val="6E8450"/>
          <w:sz w:val="18"/>
        </w:rPr>
        <w:t>2,900 Employees · https://www.atlanticunionbank.com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2025 Sandy Spring Bancorp acquisition materially expanded Atlantic Union's footprint into the Washington D.C. metro market, and Q2 2026 marked the first quarter in two years without merger-related integration costs, with record loan production reported — a genuine, successfully-executed scale transformation [1]. AI Deployment (2/2): The bank's first major AI deployment monitors call-center recordings, shifting from manual review of ~10% of calls to monitoring 100%, a specific and quantified operational AI use case [3]. Market Share (1/2): Post-merger, Atlantic Union is one of the largest banks headquartered in Virginia, a meaningful regional position but not a national category leader. Product Pipeline (0/2): No specific next-generation fintech product with a named launch date was found. R&amp;D Intensity (0/1): Banks do not typically disclose R&amp;D spend; no data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Atlantic Union's community-banking purpose is clear and reinforced by a satisfactory Community Reinvestment Act rating and $269M in community development loans across 40 projects, but reads as standard community-bank positioning rather than a distinctive, transformative cause [4]. Community Impact (2/2): The $269M in community development lending across 40 specific projects is a concrete, dollar-quantified community investment [4]. Employee Retention (1/2): A 'Top Workplace 2025' designation is a positive signal, though no explicit tenure or turnover data was found to support a higher score. Insider Buying (0/2): No insider transaction data was found in current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the dividend-stock weighting (D/E unavailable for this bank holding company and excluded from the calculation). Q2 2026 revenue (FTE) rose to $419.9M with net income to common of $158.1M, and net interest margin improved to 3.94% on record loan production [1]. ROE of 9.76% and profit margin of 32.32% both contribute positively, revenue growth of 35.8% YoY and 13.5% 5yr CAGR (partly acquisition-driven by Sandy Spring) both score at the maximum, and Forward P/E of 10.93 is well inside the 20x target. Dividend profile is strong: 28 years of consecutive payments (2x weight) and 15 years of consecutive growth support a high score despite a 5yr dividend growth CAGR estimated near 5% falling just short of the 6% target. Liquidity floor cleared: ~1.12M avg volume x $42.44 = ~$47.6M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Atlantic Union plays a largely infinite game rooted in over a century of continuous community banking in Virginia. CEO John Asbury's decade-long tenure, a 'Top Workplace 2025' designation, and the disciplined, successfully-executed Sandy Spring integration all point to an organization built to endure, though the bank has not yet faced a true existential test that would earn top marks on Just Cause or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Atlantic Union's community-reinvestment record — a satisfactory CRA rating and $269M in community development loans across 40 projects — connects banking to community building in a genuine, quantified way, though this is common among well-run regional banks rather than deeply distinctive [4].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A 'Top Workplace 2025' designation combined with CEO John Asbury's decade of leadership continuity since 2016 and a recognized, innovation-oriented CIO points to a high-trust, stable organization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Atlantic Union framing larger regional or national competitors as sources of learning was found in current research.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Sandy Spring Bancorp acquisition substantially expanded the bank's footprint into the D.C. metro market, and the bank successfully absorbed roughly two years of merger-related integration costs before Q2 2026's clean quarter — a meaningful but incremental expansion rather than a transformative business-model change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Sustaining integration investment through Sandy Spring for roughly two years before realizing a clean, cost-free quarter in Q2 2026 reflects a willingness to accept near-term complexity and cost for longer-term scale benefit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Atlantic Union Bankshares is executing a clean post-merger integration: Q2 2026 adjusted operating EPS of $0.94 beat estimates on revenue of $415.4M, net interest margin improved to 3.94%, and the quarter marked the first in two years without merger-related integration costs alongside record loan production [1]. At 10.93x forward P/E with a 3.49% dividend yield backed by 28 consecutive years of payments and 15 years of consecutive dividend growth, the stock offers durable income with mechanical Infrastructure scoring near the top of the range (9/10). The bank's proactive AI deployment for call-center monitoring and 'Top Workplace 2025' recognition support a constructive Infinite Game and AI Resilience profile.</w:t>
      </w:r>
    </w:p>
    <w:p>
      <w:pPr>
        <w:spacing w:after="120"/>
      </w:pPr>
      <w:r>
        <w:rPr>
          <w:rFonts w:ascii="Calibri" w:hAnsi="Calibri"/>
          <w:b w:val="0"/>
          <w:color w:val="3A4A28"/>
          <w:sz w:val="20"/>
        </w:rPr>
        <w:t>The bear case centers on the fact that much of the recent revenue growth (35.8% YoY, 60.6% in FY2025) is acquisition-driven by the Sandy Spring Bancorp merger rather than organic, and true underlying growth will only become clear as year-over-year comparisons normalize through 2026-2027 [1]. Regional banks carry structural interest-rate and commercial real estate sensitivity, and Atlantic Union's Innovation and Inspiration scores (5/10 each) reflect a competent but undistinguished regional bank rather than a category leader — no next-generation fintech pipeline or deeply differentiated mission was found in research. Debt-to-equity was unavailable for this bank holding company, limiting the completeness of the mechanical Infrastructure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Sandy Spring integration payoff — Q2 2026's first clean, merger-cost-free quarter with record loan production suggests operating leverage is beginning to show through</w:t>
      </w:r>
    </w:p>
    <w:p>
      <w:pPr>
        <w:spacing w:before="40" w:after="40"/>
        <w:ind w:left="283"/>
      </w:pPr>
      <w:r>
        <w:rPr>
          <w:rFonts w:ascii="Calibri" w:hAnsi="Calibri"/>
          <w:b/>
          <w:color w:val="4A6B25"/>
          <w:sz w:val="20"/>
        </w:rPr>
        <w:t xml:space="preserve">2. </w:t>
      </w:r>
      <w:r>
        <w:rPr>
          <w:rFonts w:ascii="Calibri" w:hAnsi="Calibri"/>
          <w:b w:val="0"/>
          <w:color w:val="3A4A28"/>
          <w:sz w:val="20"/>
        </w:rPr>
        <w:t>Net interest margin expansion (3.94% and rising) as higher-yielding loan production and accretion income offset funding costs</w:t>
      </w:r>
    </w:p>
    <w:p>
      <w:pPr>
        <w:spacing w:before="40" w:after="40"/>
        <w:ind w:left="283"/>
      </w:pPr>
      <w:r>
        <w:rPr>
          <w:rFonts w:ascii="Calibri" w:hAnsi="Calibri"/>
          <w:b/>
          <w:color w:val="4A6B25"/>
          <w:sz w:val="20"/>
        </w:rPr>
        <w:t xml:space="preserve">3. </w:t>
      </w:r>
      <w:r>
        <w:rPr>
          <w:rFonts w:ascii="Calibri" w:hAnsi="Calibri"/>
          <w:b w:val="0"/>
          <w:color w:val="3A4A28"/>
          <w:sz w:val="20"/>
        </w:rPr>
        <w:t>AI-driven efficiency gains from 100% call-center monitoring scaling into other back-office functions, supporting continued profit margin strength (currently 32.32%)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Acquisition-driven revenue growth (35.8% YoY) will normalize as Sandy Spring anniversaries pass, and true organic growth in a competitive Mid-Atlantic market has yet to be fully demonstrated</w:t>
      </w:r>
    </w:p>
    <w:p>
      <w:pPr>
        <w:spacing w:before="40" w:after="40"/>
        <w:ind w:left="283"/>
      </w:pPr>
      <w:r>
        <w:rPr>
          <w:rFonts w:ascii="Calibri" w:hAnsi="Calibri"/>
          <w:b/>
          <w:color w:val="4A6B25"/>
          <w:sz w:val="20"/>
        </w:rPr>
        <w:t xml:space="preserve">2. </w:t>
      </w:r>
      <w:r>
        <w:rPr>
          <w:rFonts w:ascii="Calibri" w:hAnsi="Calibri"/>
          <w:b w:val="0"/>
          <w:color w:val="3A4A28"/>
          <w:sz w:val="20"/>
        </w:rPr>
        <w:t>Regional bank commercial real estate concentration creates credit-quality risk if office and retail vacancy rates remain elevated</w:t>
      </w:r>
    </w:p>
    <w:p>
      <w:pPr>
        <w:spacing w:before="40" w:after="40"/>
        <w:ind w:left="283"/>
      </w:pPr>
      <w:r>
        <w:rPr>
          <w:rFonts w:ascii="Calibri" w:hAnsi="Calibri"/>
          <w:b/>
          <w:color w:val="4A6B25"/>
          <w:sz w:val="20"/>
        </w:rPr>
        <w:t xml:space="preserve">3. </w:t>
      </w:r>
      <w:r>
        <w:rPr>
          <w:rFonts w:ascii="Calibri" w:hAnsi="Calibri"/>
          <w:b w:val="0"/>
          <w:color w:val="3A4A28"/>
          <w:sz w:val="20"/>
        </w:rPr>
        <w:t>Debt-to-equity data was unavailable, and interest-rate sensitivity inherent to bank balance sheets remains a structural risk to net interest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Regional community banking is structurally protected — relationship-driven commercial lending, deposit gathering, and regulatory licensing require local trust and compliance capacity AI cannot replicate, and the bank is proactively deploying AI for internal efficiency rather than being disrupted by it [3]. AI Opportunity (0/1): The shift to monitoring 100% of call-center recordings via AI (up from ~10% manually) is a specific, quantified deployment, but no dollar figure for cost savings or new revenue was disclosed, so it does not clear the bar for the tiebreaker point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Atlantic Union Bankshares Q2 2026 Earnings — Investing.com, SahmCapital,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Atlantic Union Bank Leadership and CIO Innovation Recognition — American Banker, theorg.com, 2026</w:t>
      </w:r>
    </w:p>
    <w:p>
      <w:pPr>
        <w:spacing w:before="20" w:after="20"/>
        <w:ind w:left="170"/>
      </w:pPr>
      <w:r>
        <w:rPr>
          <w:rFonts w:ascii="Calibri" w:hAnsi="Calibri"/>
          <w:b/>
          <w:color w:val="4A6B25"/>
          <w:sz w:val="15"/>
        </w:rPr>
        <w:t xml:space="preserve">3. </w:t>
      </w:r>
      <w:r>
        <w:rPr>
          <w:rFonts w:ascii="Calibri" w:hAnsi="Calibri"/>
          <w:b w:val="0"/>
          <w:color w:val="3A4A28"/>
          <w:sz w:val="17"/>
        </w:rPr>
        <w:t>Atlantic Union Bank Community Reinvestment and CSR — atlanticunionbank.com,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Atlantic Union Bankshares Dividend History — Macrotrends, Dividend.com,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AUB Statistics and Financials,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