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AUGO</w:t>
      </w:r>
      <w:r>
        <w:rPr>
          <w:rFonts w:ascii="Calibri" w:hAnsi="Calibri"/>
          <w:b/>
          <w:color w:val="1A2010"/>
          <w:sz w:val="40"/>
        </w:rPr>
        <w:t xml:space="preserve">  Aura Minerals Inc.</w:t>
      </w:r>
    </w:p>
    <w:p>
      <w:pPr>
        <w:spacing w:after="120"/>
      </w:pPr>
      <w:r>
        <w:rPr>
          <w:rFonts w:ascii="Calibri" w:hAnsi="Calibri"/>
          <w:b/>
          <w:color w:val="6E8450"/>
          <w:sz w:val="18"/>
        </w:rPr>
        <w:t>DIVIDEND SLEEVE · 2026-08-10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NASDAQ · United States</w:t>
      </w:r>
    </w:p>
    <w:p>
      <w:pPr>
        <w:spacing w:after="80"/>
      </w:pPr>
      <w:r>
        <w:rPr>
          <w:rFonts w:ascii="Calibri" w:hAnsi="Calibri"/>
          <w:b w:val="0"/>
          <w:color w:val="3A4A28"/>
          <w:sz w:val="20"/>
        </w:rPr>
        <w:t>Aura Minerals Inc. is a mid-tier gold and copper production company operating five mines across the Americas: Minosa (Honduras), Apoena, Almas, and Borborema (Brazil), and Aranzazu copper-gold-silver mine (Mexico). Founded in 1946 and headquartered in Coconut Grove, Florida, the company operates under a 360-degree Mining concept integrating stakeholder value across shareholders, employees, and communities.</w:t>
      </w:r>
    </w:p>
    <w:p>
      <w:r>
        <w:rPr>
          <w:rFonts w:ascii="Calibri" w:hAnsi="Calibri"/>
          <w:b/>
          <w:color w:val="6E8450"/>
          <w:sz w:val="18"/>
        </w:rPr>
        <w:t>3,500 Employees · https://www.auraminerals.com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Aura successfully ramped up the Borborema mine in Brazil and acquired Serra Grande from AngloGold Ashanti, opening significant new revenue streams that contributed to a 104% H1 2026 revenue increase [1]. The Era Dorada and Matupa projects are expected to more than double 2025 output in coming years. AI Deployment (1/2): The Automet project at Aranzazu deployed AI to cut input costs by approximately 16% in six months and improve metallurgical recovery, while global efficiency initiatives generated US$45.6 million in savings [3]. Market Share (0/2): Mid-tier gold producer with no category leadership or dominant share position in the fragmented gold mining industry. Product Pipeline (1/2): Era Dorada and Matupa projects have specific development timelines and production guidance targets a 20-40% increase over 2025, but large-scale project execution carries meaningful risk [1]. R&amp;D Intensity (0/1): Mining operations are capital-intensive rather than R&amp;D-intensive; no evidence of above-average R&amp;D spending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Aura's mission to 'find, mine and deliver the planet's most important and essential minerals that enable the world and humankind to create, innovate, and prosper' is specific and thoughtful, connecting mining to a larger purpose through the 360-degree Mining concept introduced under CEO Rodrigo Barbosa [2]. The framework explicitly integrates stakeholders beyond shareholders. Community Impact (1/2): Aura received the Socially Responsible Company (ESR) Seal for Aranzazu (Mexico) and Minosa (Honduras) for two consecutive years, and achieved World Gold Council RGMP and CFGS compliance in 2024, with zero lost-time accidents in 2023 across all operations [4]. Employee Retention (1/2): CEO Barbosa revolutionized management culture by dismantling hierarchical structures, creating open-plan offices, and rethinking senior-to-junior management interactions; Glassdoor reviews (3.9/5 from 68 reviews) cite 'fantastic culture' and strong leadership [3]. Insider Buying (0/2): No evidence of net insider buying found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record revenue of US$336M (up 76.4% YoY) with gross profit of US$191.5M and operating profit of US$175.3M driven by 27% production growth and 35% higher average gold prices [1]. ROE of 40.33% reflects strong capital efficiency. D/E of 142.54% is elevated but manageable for a capital-intensive miner with US$248.3M cash [1]. TTM profit margin of 7.80% understates current profitability as Q2 2026 net income of US$217.7M (boosted by hedge gains) has not fully flowed into TTM calculations [5]. Dividend yield of 4.12% with 17.38% average 5-year dividend growth CAGR demonstrates strong shareholder returns. TTM payout ratio is excluded from scoring as Yahoo Finance TTM EPS ($1.12) does not yet reflect Q2 2026 results ($2.57 diluted EPS in Q2 alone).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Aura Minerals under CEO Rodrigo Barbosa shows genuine infinite-game characteristics, particularly in its stakeholder-oriented 360-degree Mining framework and deliberate cultural transformation of traditional mining hierarchy. The company invests in long-term mine development while maintaining operational discipline. However, the Just Cause is relatively recent (2017) and untested through a major crisis, and the company's competitive posture lacks evidence of the introspective rival awareness Sinek values.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360-degree Mining concept articulates a distinctive purpose connecting mining to enabling human progress, validated by specific strategic decisions including the cultural restructuring under Barbosa and the integration of ESG into operational frameworks [2]. However, Barbosa's tenure began only in 2017 and the cause has not been tested through a major commodity downturn or leadership transition under the current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Barbosa deliberately dismantled the hierarchical mining culture by creating open-plan offices and restructuring senior-junior management interactions, earning a 3.9/5 Glassdoor rating with employees citing 'the CEO cares about his employees' and 'fantastic culture' [3]. Zero lost-time accidents in 2023 suggests operational safety culture. However, the company's geographic dispersion across three countries limits visibility into team trust at all levels.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management acknowledging competitors' strengths or using competitive pressure as motivation for self-improvement. Mining industry language tends toward production volumes, cost metrics, and resource acquisition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Aura has expanded from a smaller single-region operator to a diversified five-mine company across three countries and multiple commodities (gold, copper, silver), with the Automet AI initiative representing technological adaptation [1][3]. These represent meaningful evolution but are incremental expansions rather than transformative pivots that redefined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Barbosa's decision to overhaul mining management culture was a courageous departure from industry norms, and the company's continued investment in Era Dorada and Matupa development projects while managing current operations demonstrates long-term commitment over short-term optimization [1][2]. However, with gold at record highs, these investments carry less relative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Aura Minerals delivered a record H1 2026 with US$718.6M revenue (up 104% YoY), driven by 27% production growth and sharply higher gold (+35%) and copper (+41%) prices [1]. Q2 2026 net income of US$217.7M and diluted EPS of $2.57 demonstrate exceptional operating leverage. With Era Dorada and Matupa projects targeting more than double current output, production guidance for 20-40% growth in 2026, and a 4.12% dividend yield supported by 17.38% average annual dividend growth, Aura offers a compelling combination of income and growth in a structural gold bull market. The Automet AI initiative delivering US$45.6M in efficiency savings shows operational discipline beyond commodity price tailwinds [3].</w:t>
      </w:r>
    </w:p>
    <w:p>
      <w:pPr>
        <w:spacing w:after="120"/>
      </w:pPr>
      <w:r>
        <w:rPr>
          <w:rFonts w:ascii="Calibri" w:hAnsi="Calibri"/>
          <w:b w:val="0"/>
          <w:color w:val="3A4A28"/>
          <w:sz w:val="20"/>
        </w:rPr>
        <w:t>The primary risk is commodity price dependence: gold at record highs (+35% YoY) and copper at elevated levels (+41% YoY) are the dominant drivers of revenue and earnings growth, and a mean reversion in metals prices would compress margins significantly [1]. D/E of 142.54% is elevated for a cyclical business, and the TTM profit margin of 7.80% (pre-Q2 update) suggests underlying profitability remains modest despite headline revenue growth. Execution risk on the Era Dorada and Matupa development pipeline is meaningful, as new mine construction in Latin America faces permitting, environmental, and community challenges. The PE of 50.54x (TTM) is optically expensive, though it reflects stale earnings data that does not yet capture Q2 2026 results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Era Dorada and Matupa mine developments expected to more than double 2025 output over the coming years, providing multi-year production growth visibility</w:t>
      </w:r>
    </w:p>
    <w:p>
      <w:pPr>
        <w:spacing w:before="40" w:after="40"/>
        <w:ind w:left="283"/>
      </w:pPr>
      <w:r>
        <w:rPr>
          <w:rFonts w:ascii="Calibri" w:hAnsi="Calibri"/>
          <w:b/>
          <w:color w:val="4A6B25"/>
          <w:sz w:val="20"/>
        </w:rPr>
        <w:t xml:space="preserve">2. </w:t>
      </w:r>
      <w:r>
        <w:rPr>
          <w:rFonts w:ascii="Calibri" w:hAnsi="Calibri"/>
          <w:b w:val="0"/>
          <w:color w:val="3A4A28"/>
          <w:sz w:val="20"/>
        </w:rPr>
        <w:t>Sustained gold price strength above $2,500/oz driven by central bank buying, geopolitical risk, and AI-driven copper demand supporting both revenue lines</w:t>
      </w:r>
    </w:p>
    <w:p>
      <w:pPr>
        <w:spacing w:before="40" w:after="40"/>
        <w:ind w:left="283"/>
      </w:pPr>
      <w:r>
        <w:rPr>
          <w:rFonts w:ascii="Calibri" w:hAnsi="Calibri"/>
          <w:b/>
          <w:color w:val="4A6B25"/>
          <w:sz w:val="20"/>
        </w:rPr>
        <w:t xml:space="preserve">3. </w:t>
      </w:r>
      <w:r>
        <w:rPr>
          <w:rFonts w:ascii="Calibri" w:hAnsi="Calibri"/>
          <w:b w:val="0"/>
          <w:color w:val="3A4A28"/>
          <w:sz w:val="20"/>
        </w:rPr>
        <w:t>Automet AI and operational efficiency programs expanding across all five mines, targeting additional cost savings beyond the US$45.6M achieved to date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concentration risk: gold and copper together drive nearly all revenue, and a 20%+ pullback in metals prices would compress margins given the 142.54% D/E and capital-intensive operations</w:t>
      </w:r>
    </w:p>
    <w:p>
      <w:pPr>
        <w:spacing w:before="40" w:after="40"/>
        <w:ind w:left="283"/>
      </w:pPr>
      <w:r>
        <w:rPr>
          <w:rFonts w:ascii="Calibri" w:hAnsi="Calibri"/>
          <w:b/>
          <w:color w:val="4A6B25"/>
          <w:sz w:val="20"/>
        </w:rPr>
        <w:t xml:space="preserve">2. </w:t>
      </w:r>
      <w:r>
        <w:rPr>
          <w:rFonts w:ascii="Calibri" w:hAnsi="Calibri"/>
          <w:b w:val="0"/>
          <w:color w:val="3A4A28"/>
          <w:sz w:val="20"/>
        </w:rPr>
        <w:t>Execution risk on Era Dorada and Matupa development projects, where construction delays, permitting challenges, or cost overruns in Latin American jurisdictions could defer production growth</w:t>
      </w:r>
    </w:p>
    <w:p>
      <w:pPr>
        <w:spacing w:before="40" w:after="40"/>
        <w:ind w:left="283"/>
      </w:pPr>
      <w:r>
        <w:rPr>
          <w:rFonts w:ascii="Calibri" w:hAnsi="Calibri"/>
          <w:b/>
          <w:color w:val="4A6B25"/>
          <w:sz w:val="20"/>
        </w:rPr>
        <w:t xml:space="preserve">3. </w:t>
      </w:r>
      <w:r>
        <w:rPr>
          <w:rFonts w:ascii="Calibri" w:hAnsi="Calibri"/>
          <w:b w:val="0"/>
          <w:color w:val="3A4A28"/>
          <w:sz w:val="20"/>
        </w:rPr>
        <w:t>TTM payout ratio exceeds 100% based on trailing earnings; if Q2 2026 hedge gains prove non-recurring, the $2.25 annual dividend may require reassessment relative to normalized cash flows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and copper mining is a fundamentally physical-world operation requiring geological expertise, heavy equipment, extraction infrastructure, and processing facilities that AI structurally cannot displace [1]. Rising gold prices (+35% YoY) and copper prices (+41% YoY) are driven by macroeconomic and industrial demand factors entirely independent of AI disruption. AI data center buildout is actually increasing demand for copper, making Aura a net beneficiary of AI infrastructure expansion. Regulatory compliance across Honduras, Brazil, and Mexico adds further structural protection. AI Opportunity (1/1): The Automet AI project at Aranzazu delivered measurable results, cutting input costs by 16% and increasing metallurgical recovery, while global AI-driven efficiency initiatives generated US$45.6 million in savings across operations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Aura Minerals Q2 2026 and H1 2026 Financial and Operational Results — GlobeNewsWire, August 5, 2026</w:t>
      </w:r>
    </w:p>
    <w:p>
      <w:pPr>
        <w:spacing w:before="20" w:after="20"/>
        <w:ind w:left="170"/>
      </w:pPr>
      <w:r>
        <w:rPr>
          <w:rFonts w:ascii="Calibri" w:hAnsi="Calibri"/>
          <w:b/>
          <w:color w:val="4A6B25"/>
          <w:sz w:val="15"/>
        </w:rPr>
        <w:t xml:space="preserve">2. </w:t>
      </w:r>
      <w:r>
        <w:rPr>
          <w:rFonts w:ascii="Calibri" w:hAnsi="Calibri"/>
          <w:b w:val="0"/>
          <w:color w:val="3A4A28"/>
          <w:sz w:val="17"/>
        </w:rPr>
        <w:t>Aura Announces 360-degree Mining Concept: New Mission, Vision and Values Statement — GlobeNewsWire, December 2018</w:t>
      </w:r>
    </w:p>
    <w:p>
      <w:pPr>
        <w:spacing w:before="20" w:after="20"/>
        <w:ind w:left="170"/>
      </w:pPr>
      <w:r>
        <w:rPr>
          <w:rFonts w:ascii="Calibri" w:hAnsi="Calibri"/>
          <w:b/>
          <w:color w:val="4A6B25"/>
          <w:sz w:val="15"/>
        </w:rPr>
        <w:t xml:space="preserve">3. </w:t>
      </w:r>
      <w:r>
        <w:rPr>
          <w:rFonts w:ascii="Calibri" w:hAnsi="Calibri"/>
          <w:b w:val="0"/>
          <w:color w:val="3A4A28"/>
          <w:sz w:val="17"/>
        </w:rPr>
        <w:t>Bringing a New Management Style to Mining — CEO-NA Magazine interview with Rodrigo Barbosa, 2023</w:t>
      </w:r>
    </w:p>
    <w:p>
      <w:pPr>
        <w:spacing w:before="20" w:after="20"/>
        <w:ind w:left="170"/>
      </w:pPr>
      <w:r>
        <w:rPr>
          <w:rFonts w:ascii="Calibri" w:hAnsi="Calibri"/>
          <w:b/>
          <w:color w:val="4A6B25"/>
          <w:sz w:val="15"/>
        </w:rPr>
        <w:t xml:space="preserve">4. </w:t>
      </w:r>
      <w:r>
        <w:rPr>
          <w:rFonts w:ascii="Calibri" w:hAnsi="Calibri"/>
          <w:b w:val="0"/>
          <w:color w:val="3A4A28"/>
          <w:sz w:val="17"/>
        </w:rPr>
        <w:t>Aura Minerals Sustainability Report 2024 — AuraMinerals.com</w:t>
      </w:r>
    </w:p>
    <w:p>
      <w:pPr>
        <w:spacing w:before="20" w:after="20"/>
        <w:ind w:left="170"/>
      </w:pPr>
      <w:r>
        <w:rPr>
          <w:rFonts w:ascii="Calibri" w:hAnsi="Calibri"/>
          <w:b/>
          <w:color w:val="4A6B25"/>
          <w:sz w:val="15"/>
        </w:rPr>
        <w:t xml:space="preserve">5. </w:t>
      </w:r>
      <w:r>
        <w:rPr>
          <w:rFonts w:ascii="Calibri" w:hAnsi="Calibri"/>
          <w:b w:val="0"/>
          <w:color w:val="3A4A28"/>
          <w:sz w:val="17"/>
        </w:rPr>
        <w:t>Yahoo Finance — AUGO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