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AVB</w:t>
      </w:r>
      <w:r>
        <w:rPr>
          <w:rFonts w:ascii="Calibri" w:hAnsi="Calibri"/>
          <w:b/>
          <w:color w:val="1A2010"/>
          <w:sz w:val="40"/>
        </w:rPr>
        <w:t xml:space="preserve">  AvalonBay Communities, Inc.</w:t>
      </w:r>
    </w:p>
    <w:p>
      <w:pPr>
        <w:spacing w:after="120"/>
      </w:pPr>
      <w:r>
        <w:rPr>
          <w:rFonts w:ascii="Calibri" w:hAnsi="Calibri"/>
          <w:b/>
          <w:color w:val="6E8450"/>
          <w:sz w:val="18"/>
        </w:rPr>
        <w:t>DIVIDEND SLEEVE · 2026-08-07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AvalonBay Communities is a REIT headquartered in Arlington, Virginia that develops, redevelops, acquires, and manages high-quality apartment communities across supply-constrained coastal and expansion markets in the United States. The company owns or holds interest in over 90,000 apartment homes and, under CEO Benjamin Schall, announced a 2026 'merger of equals' with Equity Residential to create the largest publicly traded multifamily REIT.</w:t>
      </w:r>
    </w:p>
    <w:p>
      <w:r>
        <w:rPr>
          <w:rFonts w:ascii="Calibri" w:hAnsi="Calibri"/>
          <w:b/>
          <w:color w:val="6E8450"/>
          <w:sz w:val="18"/>
        </w:rPr>
        <w:t>3,055 Employees · https://www.avalonbay.com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AvalonBay announced a transformative 'merger of equals' with Equity Residential in 2026 to create the largest public apartment REIT, while also expanding beyond its coastal core into new expansion regions targeting ~25% of the portfolio over time [1][2]. AI Deployment (2/2): The company opened a second centralized AI-enabled customer care center and is targeting $55M in incremental NOI by year-end from its technology/AI-driven operating model transformation — a specific, quantified deployment [2]. Market Share (2/2): AvalonBay is a top-tier public apartment REIT, and the pending Equity Residential combination would create the sector's largest multifamily platform by scale [2]. Product Pipeline (2/2): A $3.3B development pipeline targeting high-return coastal expansion markets provides specific, dollar-quantified forward visibility [1]. R&amp;D Intensity (0/1): REITs do not report traditional R&amp;D spend; no data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AvalonBay's culture has persisted across three CEO transitions over roughly 30 years (Blair, Naughton, Schall), with associates described as 'united by a singular purpose' that continues beyond any one leader — a specific, thoughtful signal, though the precise articulated mission was not independently verified in research [3]. Community Impact (1/2): Recognition as a Newsweek 'Most Responsible Company' for five consecutive years, an MSCI 'A' rating, and Forbes Net Zero Leaders status reflect strong environmental/governance programs, though these are ESG accolades rather than specific charitable/community dollar programs [4]. Employee Retention (1/2): Culture continuity across three CEO eras over three decades suggests durable retention, though no explicit tenure or turnover figures were found. Insider Buying (0/2): No insider transaction data was found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dividend-stock weighting. Q2 2026 Core FFO of $2.86/share beat guidance on revenue of $777.8M, with same-store revenue growth of 1.6% in Q1 2026 and occupancy at 96.1% [1]. D/E of 75% and profit margin of 33.32% score well; ROE of 8.49% and Forward P/E of 36.14 (elevated, as is typical for REITs valued on FFO rather than GAAP earnings) are the weakest inputs. Dividend profile shows 28 years of consecutive payments (2x weight) and a 97.68% payout ratio that is high on a GAAP-EPS basis (typical for REITs, which distribute FFO rather than net income) but drags the mechanical score. Full-year 2026 outlook was suspended pending the announced Equity Residential merger [1]. Liquidity floor cleared: ~742K avg volume x $186.55 = ~$138.5M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AvalonBay shows a culture and operating discipline that has clearly outlasted any single leader across three CEO transitions over 30 years, and the pending Equity Residential combination is framed as combining strengths with a worthy rival rather than defeating one — genuinely infinite-game behavior. The purpose itself, however, remains business-focused rather than a fully resilient, idealistic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 culture described as persisting beyond any one leader across three CEO transitions (Blair, Naughton, Schall) over roughly 30 years suggests a genuine, durable purpose, though the specific articulated 'why' was not independently confirmed and the company has not been tested through a true existential crisis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 culture that has been institutionalized across three CEO transitions over three decades, with ~3,000 associates described as 'united by a singular purpose,' is strong evidence of psychological safety and organizational continuity beyond any one leader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2026 'merger of equals' with Equity Residential is explicitly framed around combining strengths for shared capability (AI, automation, centralized services) rather than defeating a rival — a clear expression of an infinite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pending merger with Equity Residential and expansion into new non-coastal regions represent meaningful structural change, but AvalonBay's core business model — owning and operating apartment communities — remains fundamentally unchanged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structurally transformative 'merger of equals' with a direct competitor, and continuing $3.3B in coastal development investment through cyclical uncertainty, both reflect a willingness to make costly long-term commitments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AvalonBay is entering a transformative phase: Q2 2026 Core FFO of $2.86 beat guidance on $777.8M revenue, easing new supply and disciplined execution drove strong rent growth and lower operating expenses, and the announced 'merger of equals' with Equity Residential would create the largest public apartment REIT with combined scale to fund AI, automation, and centralized-service investment [1][2]. AvalonBay's own AI-enabled centralized customer care initiative is already targeting $55M in incremental NOI by year-end, and a $3.3B development pipeline in high-return coastal and expansion markets provides multi-year visibility. AI Resilience is a standout (9/10) given the structural immunity of physical apartment ownership to AI disruption, and 28 consecutive years of dividend payments with a 3.82% yield support the income case.</w:t>
      </w:r>
    </w:p>
    <w:p>
      <w:pPr>
        <w:spacing w:after="120"/>
      </w:pPr>
      <w:r>
        <w:rPr>
          <w:rFonts w:ascii="Calibri" w:hAnsi="Calibri"/>
          <w:b w:val="0"/>
          <w:color w:val="3A4A28"/>
          <w:sz w:val="20"/>
        </w:rPr>
        <w:t>The bear case centers on valuation and merger execution risk. Forward P/E of 36.14 and a 97.68% GAAP payout ratio (reflecting the REIT convention of distributing FFO rather than net income) look stretched relative to a modest 4.4% revenue growth rate and 8.49% ROE, and the company suspended its full-year 2026 EPS/FFO outlook entirely pending the Equity Residential merger, creating near-term guidance uncertainty [1]. A 30-year-old culture and a strong AI/Infinite Game profile do not offset the execution risk inherent in combining two large REITs — integration costs, potential portfolio divestitures to satisfy regulators, and cultural blending are unresolved. Five-year dividend growth CAGR of roughly 2.3% barely keeps pace with inflation, limiting real income growth for shareholders during the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and successful integration of the AvalonBay/Equity Residential merger of equals, creating the largest public multifamily REIT with combined scale for AI and automation investment</w:t>
      </w:r>
    </w:p>
    <w:p>
      <w:pPr>
        <w:spacing w:before="40" w:after="40"/>
        <w:ind w:left="283"/>
      </w:pPr>
      <w:r>
        <w:rPr>
          <w:rFonts w:ascii="Calibri" w:hAnsi="Calibri"/>
          <w:b/>
          <w:color w:val="4A6B25"/>
          <w:sz w:val="20"/>
        </w:rPr>
        <w:t xml:space="preserve">2. </w:t>
      </w:r>
      <w:r>
        <w:rPr>
          <w:rFonts w:ascii="Calibri" w:hAnsi="Calibri"/>
          <w:b w:val="0"/>
          <w:color w:val="3A4A28"/>
          <w:sz w:val="20"/>
        </w:rPr>
        <w:t>Continued realization of the $55M incremental NOI target from centralized, AI-enabled customer care and operating-model transformation</w:t>
      </w:r>
    </w:p>
    <w:p>
      <w:pPr>
        <w:spacing w:before="40" w:after="40"/>
        <w:ind w:left="283"/>
      </w:pPr>
      <w:r>
        <w:rPr>
          <w:rFonts w:ascii="Calibri" w:hAnsi="Calibri"/>
          <w:b/>
          <w:color w:val="4A6B25"/>
          <w:sz w:val="20"/>
        </w:rPr>
        <w:t xml:space="preserve">3. </w:t>
      </w:r>
      <w:r>
        <w:rPr>
          <w:rFonts w:ascii="Calibri" w:hAnsi="Calibri"/>
          <w:b w:val="0"/>
          <w:color w:val="3A4A28"/>
          <w:sz w:val="20"/>
        </w:rPr>
        <w:t>$3.3B development pipeline in high-return coastal and expansion markets converting to stabilized NOI as new communities lease 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risk — integrating with Equity Residential could distract management, trigger regulatory-driven divestitures, or blend two distinct cultures poorly</w:t>
      </w:r>
    </w:p>
    <w:p>
      <w:pPr>
        <w:spacing w:before="40" w:after="40"/>
        <w:ind w:left="283"/>
      </w:pPr>
      <w:r>
        <w:rPr>
          <w:rFonts w:ascii="Calibri" w:hAnsi="Calibri"/>
          <w:b/>
          <w:color w:val="4A6B25"/>
          <w:sz w:val="20"/>
        </w:rPr>
        <w:t xml:space="preserve">2. </w:t>
      </w:r>
      <w:r>
        <w:rPr>
          <w:rFonts w:ascii="Calibri" w:hAnsi="Calibri"/>
          <w:b w:val="0"/>
          <w:color w:val="3A4A28"/>
          <w:sz w:val="20"/>
        </w:rPr>
        <w:t>Suspended full-year 2026 EPS/FFO guidance removes a key valuation anchor until merger terms and timing are finalized</w:t>
      </w:r>
    </w:p>
    <w:p>
      <w:pPr>
        <w:spacing w:before="40" w:after="40"/>
        <w:ind w:left="283"/>
      </w:pPr>
      <w:r>
        <w:rPr>
          <w:rFonts w:ascii="Calibri" w:hAnsi="Calibri"/>
          <w:b/>
          <w:color w:val="4A6B25"/>
          <w:sz w:val="20"/>
        </w:rPr>
        <w:t xml:space="preserve">3. </w:t>
      </w:r>
      <w:r>
        <w:rPr>
          <w:rFonts w:ascii="Calibri" w:hAnsi="Calibri"/>
          <w:b w:val="0"/>
          <w:color w:val="3A4A28"/>
          <w:sz w:val="20"/>
        </w:rPr>
        <w:t>Elevated Forward P/E (36.14) and GAAP payout ratio (97.68%) leave limited margin of safety if same-store revenue growth (1.6% in Q1 2026) fails to reaccelerate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AvalonBay's core business — owning and operating physical apartment communities — is structurally immune to AI displacement; housing supply is constrained by zoning and physical construction, not technology, and AI cannot substitute for on-site property operations [1][2]. AI Opportunity (1/1): The company's centralized, AI-enabled customer care model is explicitly targeting $55M in incremental NOI by year-end 2026, a specific, quantified financial benefit tied to AI/technology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AvalonBay Communities Q1/Q2 2026 Results and Equity Residential Merger Announcement — businesswire.com, investors.avalonbay.com, 2026</w:t>
      </w:r>
    </w:p>
    <w:p>
      <w:pPr>
        <w:spacing w:before="20" w:after="20"/>
        <w:ind w:left="170"/>
      </w:pPr>
      <w:r>
        <w:rPr>
          <w:rFonts w:ascii="Calibri" w:hAnsi="Calibri"/>
          <w:b/>
          <w:color w:val="4A6B25"/>
          <w:sz w:val="15"/>
        </w:rPr>
        <w:t xml:space="preserve">2. </w:t>
      </w:r>
      <w:r>
        <w:rPr>
          <w:rFonts w:ascii="Calibri" w:hAnsi="Calibri"/>
          <w:b w:val="0"/>
          <w:color w:val="3A4A28"/>
          <w:sz w:val="17"/>
        </w:rPr>
        <w:t>AvalonBay Integrates AI, Opens Second Customer Care Center — Nareit, 2026</w:t>
      </w:r>
    </w:p>
    <w:p>
      <w:pPr>
        <w:spacing w:before="20" w:after="20"/>
        <w:ind w:left="170"/>
      </w:pPr>
      <w:r>
        <w:rPr>
          <w:rFonts w:ascii="Calibri" w:hAnsi="Calibri"/>
          <w:b/>
          <w:color w:val="4A6B25"/>
          <w:sz w:val="15"/>
        </w:rPr>
        <w:t xml:space="preserve">3. </w:t>
      </w:r>
      <w:r>
        <w:rPr>
          <w:rFonts w:ascii="Calibri" w:hAnsi="Calibri"/>
          <w:b w:val="0"/>
          <w:color w:val="3A4A28"/>
          <w:sz w:val="17"/>
        </w:rPr>
        <w:t>AvalonBay/Equity Residential Merger of Equals Coverage — Multifamily Dive, HousingWire, 2026</w:t>
      </w:r>
    </w:p>
    <w:p>
      <w:pPr>
        <w:spacing w:before="20" w:after="20"/>
        <w:ind w:left="170"/>
      </w:pPr>
      <w:r>
        <w:rPr>
          <w:rFonts w:ascii="Calibri" w:hAnsi="Calibri"/>
          <w:b/>
          <w:color w:val="4A6B25"/>
          <w:sz w:val="15"/>
        </w:rPr>
        <w:t xml:space="preserve">4. </w:t>
      </w:r>
      <w:r>
        <w:rPr>
          <w:rFonts w:ascii="Calibri" w:hAnsi="Calibri"/>
          <w:b w:val="0"/>
          <w:color w:val="3A4A28"/>
          <w:sz w:val="17"/>
        </w:rPr>
        <w:t>AvalonBay Communities ESG Report and Newsweek/MSCI/Forbes Recognition — businesswire.com,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AVB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