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AZN</w:t>
      </w:r>
      <w:r>
        <w:rPr>
          <w:rFonts w:ascii="Calibri" w:hAnsi="Calibri"/>
          <w:b/>
          <w:color w:val="1A2010"/>
          <w:sz w:val="40"/>
        </w:rPr>
        <w:t xml:space="preserve">  AstraZeneca PLC</w:t>
      </w:r>
    </w:p>
    <w:p>
      <w:pPr>
        <w:spacing w:after="120"/>
      </w:pPr>
      <w:r>
        <w:rPr>
          <w:rFonts w:ascii="Calibri" w:hAnsi="Calibri"/>
          <w:b/>
          <w:color w:val="6E8450"/>
          <w:sz w:val="18"/>
        </w:rPr>
        <w:t>GROWTH SLEEVE · 2026-07-08 · Inspire: -75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Kingdom</w:t>
      </w:r>
    </w:p>
    <w:p>
      <w:pPr>
        <w:spacing w:after="80"/>
      </w:pPr>
      <w:r>
        <w:rPr>
          <w:rFonts w:ascii="Calibri" w:hAnsi="Calibri"/>
          <w:b w:val="0"/>
          <w:color w:val="3A4A28"/>
          <w:sz w:val="20"/>
        </w:rPr>
        <w:t>AstraZeneca is a global biopharmaceutical company focused on the discovery, development, manufacturing, and commercialization of prescription medicines across oncology, cardiovascular/renal/metabolic, respiratory/immunology, and rare disease therapeutic areas. Under CEO Pascal Soriot's leadership since 2012, the company has transformed from a declining patent-cliff company into a growth leader, more than doubling revenue from $26.6B (2020) to $60.4B (TTM). The Alexion acquisition ($39B, 2021) expanded into rare diseases. Headquartered in Cambridge, England, with ADR trading on NYSE.</w:t>
      </w:r>
    </w:p>
    <w:p>
      <w:r>
        <w:rPr>
          <w:rFonts w:ascii="Calibri" w:hAnsi="Calibri"/>
          <w:b/>
          <w:color w:val="6E8450"/>
          <w:sz w:val="18"/>
        </w:rPr>
        <w:t>95,100 Employees · https://www.astrazeneca.com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AstraZeneca has executed one of the most dramatic transformations in pharmaceutical history under CEO Pascal Soriot, growing revenue from $26.6B in 2020 to $60.4B TTM through a combination of organic pipeline execution and the transformative $39B Alexion acquisition [1][2]. The oncology portfolio alone grew 16% YoY to $6.8B quarterly, and the company launched or expanded multiple blockbuster drugs including Tagrisso, Imfinzi, and the Daiichi Sankyo-partnered Enhertu. AI Deployment (1/2): AstraZeneca created a dedicated AI unit scaling generative AI across R&amp;D, clinical trial design, and operations. CEO Soriot stated in June 2026 that 'AI is affecting every part of our company,' and the company spent a year on proofs of concept before scaling [3]. Specific AI revenue figures are not quantified. Market Share (2/2): Category leader in oncology contributing 44% of total revenue at $6.8B quarterly with 16% growth, maintaining leadership positions in lung cancer (Tagrisso), breast cancer (Enhertu), and expanding into hematology and rare diseases [1]. Product Pipeline (2/2): On track for $80B revenue ambition by 2030 with a deep late-stage pipeline; 2026 mid-30s margin target; specific next-generation oncology assets in development with clear regulatory timelines [2]. R&amp;D Intensity (1/1): Significant R&amp;D investment as a percentage of revenue, among the highest in large pharma, driving one of the most productive pipelines in the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AstraZeneca's purpose is to push the boundaries of science to deliver life-changing medicines. Under Soriot, this purpose has been validated by 13+ years of consistent execution that transformed the company from a declining patent-cliff enterprise into a global oncology and rare disease leader [2]. The purpose clearly drives strategic decisions including the Alexion acquisition, heavy R&amp;D investment, and expansion into rare diseases. It is specific, thoughtful, and backed by execution, though it has not yet survived a leadership transition beyond Soriot. Community Impact (1/2): AstraZeneca maintains Access to Medicines programs, Healthy Heart Africa initiative reaching millions in sub-Saharan Africa, and the Young Health Programme. These are substantial but standard for a large pharma company [4]. Employee Retention (1/2): CEO Pascal Soriot's 13+ year tenure provides exceptional leadership continuity, and the 95,100-person workforce has grown steadily alongside revenue. Board has 46% female representation and 31% ethnic minority representation [4]. No specific turnover data cited, but leadership stability is above average. Insider Buying (0/2): No evidence of notable net insider buying by executives in the last 12 months was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AstraZeneca delivered Q1 2026 revenue of $15.29B, up 8% YoY at constant currency, beating consensus of $14.94B, with core EPS of $2.58 exceeding estimates of $2.54 [1]. The company guided for mid-to-high-single-digit revenue growth and low double-digit EPS growth for full-year 2026. D/E of 72% is near ideal at the 70% target. ROE of 23.48% exceeds the 15% target. Profit margin of 17.19% is slightly below the 20% target but improving toward mid-30s margin guidance. Revenue growth 5yr CAGR of 17.2% (2020-2025) is exceptional for a large-cap pharma, driven by the Alexion acquisition and oncology portfolio expansion [5]. Forward P/E of 18.20 is below the 20 target, representing attractive valuation for the growth profile. Forward PEG of approximately 1.52 (using 11.94% 3yr EPS growth forecast) reflects reasonable growth-adjusted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AstraZeneca under Pascal Soriot exemplifies infinite game thinking. Soriot inherited a company in secular decline from patent cliffs and made bold, long-term bets on oncology, rare diseases, and pipeline investment that took years to pay off. The $39B Alexion acquisition, heavy R&amp;D spending during uncertain periods, and the company's transformation from a declining generics play to a global innovation leader all reflect decisions made in service of a long-term purpose rather than quarterly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AstraZeneca's purpose of pushing the boundaries of science to deliver life-changing medicines has been validated by 13+ years of transformative execution under Soriot. The purpose clearly shapes strategic decisions: the Alexion acquisition for rare diseases, heavy R&amp;D investment even during patent cliff periods, and expansion into oncology were all driven by the mission rather than short-term financial optimization [2]. However, the purpose has not yet survived a leadership transition beyond Soriot, and it is not as distinctive as truly generational Just Causes like NVDA's 'accelerate computing.'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AstraZeneca has demonstrated stable leadership under Soriot with cross-functional AI teams and a culture described as viewing AI as augmenting rather than replacing human capability [3]. The Board has 46% female and 31% ethnic minority representation, and ESG goals are linked to executive compensation [4]. The organization has grown to 95,100 employees without significant cultural controversies. However, no specific evidence of exceptional psychological safety, employee empowerment, or above-average retention metrics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AstraZeneca acknowledges competitors' strengths and uses them as motivation to improve. The Daiichi Sankyo collaboration on Enhertu demonstrates willingness to partner with organizations that have complementary strengths in antibody-drug conjugates rather than building everything internally [1]. Soriot's competitive language focuses on 'pushing boundaries' and 'delivering life-changing medicines' rather than defeating Roche, Merck, or other oncology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Soriot's transformation of AstraZeneca is a textbook example of existential flexibility. He took a company in terminal patent-cliff decline and fundamentally reinvented it as an oncology and rare disease powerhouse, more than doubling revenue from $26.6B (2020) to $60.4B in five years [2]. The $39B Alexion acquisition for rare diseases and the strategic pivot to oncology leadership were transformative bets that redefined the company. These pivots were driven by the Just Cause of delivering life-changing medicines,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Soriot has demonstrated a pattern of courageous long-term bets. He fought off a Pfizer hostile takeover in 2014 to maintain AstraZeneca's independent pipeline-focused strategy when short-term shareholders would have benefited from the premium [2]. He invested heavily in R&amp;D during the patent cliff period when earnings were declining. The $39B Alexion acquisition was a bold bet on rare diseases that took years to validate. He committed to an $80B revenue target by 2030 when the company was at $45B. Each decision prioritized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AstraZeneca delivered Q1 2026 revenue of $15.29B (up 8% YoY constant currency), beating consensus by $350M, with core EPS of $2.58 exceeding estimates [1]. The oncology portfolio grew 16% YoY to $6.8B quarterly, contributing 44% of total revenue, and the company guided for mid-to-high-single-digit revenue growth and low double-digit EPS growth for 2026 [2]. The transformation under Soriot has been extraordinary: revenue more than doubled from $26.6B (2020) to $60.4B TTM, with the $39B Alexion acquisition and organic oncology pipeline execution driving the growth. Forward P/E of 18.2x and D/E of 72% represent an attractive valuation for the quality and growth profile, and the $80B 2030 revenue ambition provides a clear path to continued compounding [5].</w:t>
      </w:r>
    </w:p>
    <w:p>
      <w:pPr>
        <w:spacing w:after="120"/>
      </w:pPr>
      <w:r>
        <w:rPr>
          <w:rFonts w:ascii="Calibri" w:hAnsi="Calibri"/>
          <w:b w:val="0"/>
          <w:color w:val="3A4A28"/>
          <w:sz w:val="20"/>
        </w:rPr>
        <w:t>The primary concern is execution risk on ambitious growth targets. The $80B 2030 revenue ambition requires sustained high-single-digit growth from a $60B base, implying material contribution from pipeline products that have not yet launched [2]. Patent cliffs for Tagrisso (2032) and other key assets create medium-term headwinds that must be offset by pipeline replenishment. Profit margin of 17.19% is below the mid-30s target, and the path to margin expansion depends on operational leverage and mix shift toward higher-margin products. The Inspire Insight score of -75 (MISALIGNED) due to Embryonic Stem Cells and LGBT Activism attributions creates a constraint for faith-aligned investors. Dividend yield of 1.66% and 5yr dividend growth CAGR of only 2.71% mean the stock offers minimal income support relative to pharma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Oncology portfolio expansion with Enhertu (Daiichi Sankyo partnership) gaining additional indications and Imfinzi continuing to grow in immuno-oncology, supporting the 16%+ oncology growth trajectory toward the $80B 2030 revenue ambition</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mid-teens to mid-30s through operational leverage, mix shift to higher-margin oncology and rare disease products, and AI-driven operational efficiencies across R&amp;D and commercial operations</w:t>
      </w:r>
    </w:p>
    <w:p>
      <w:pPr>
        <w:spacing w:before="40" w:after="40"/>
        <w:ind w:left="283"/>
      </w:pPr>
      <w:r>
        <w:rPr>
          <w:rFonts w:ascii="Calibri" w:hAnsi="Calibri"/>
          <w:b/>
          <w:color w:val="4A6B25"/>
          <w:sz w:val="20"/>
        </w:rPr>
        <w:t xml:space="preserve">3. </w:t>
      </w:r>
      <w:r>
        <w:rPr>
          <w:rFonts w:ascii="Calibri" w:hAnsi="Calibri"/>
          <w:b w:val="0"/>
          <w:color w:val="3A4A28"/>
          <w:sz w:val="20"/>
        </w:rPr>
        <w:t>Late-stage pipeline readouts and regulatory approvals across oncology, rare disease, and respiratory immunology creating multiple shots on goal for revenue accretion through 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Tagrisso patent cliff (2032) and other key asset expirations create $15B+ of revenue at risk over the next 6-8 years that must be offset by pipeline products not yet fully validated in clinical trials</w:t>
      </w:r>
    </w:p>
    <w:p>
      <w:pPr>
        <w:spacing w:before="40" w:after="40"/>
        <w:ind w:left="283"/>
      </w:pPr>
      <w:r>
        <w:rPr>
          <w:rFonts w:ascii="Calibri" w:hAnsi="Calibri"/>
          <w:b/>
          <w:color w:val="4A6B25"/>
          <w:sz w:val="20"/>
        </w:rPr>
        <w:t xml:space="preserve">2. </w:t>
      </w:r>
      <w:r>
        <w:rPr>
          <w:rFonts w:ascii="Calibri" w:hAnsi="Calibri"/>
          <w:b w:val="0"/>
          <w:color w:val="3A4A28"/>
          <w:sz w:val="20"/>
        </w:rPr>
        <w:t>Profit margin of 17.19% is well below the mid-30s target, and failure to execute on operational leverage and mix shift could result in earnings growth disappointing relative to revenue growth</w:t>
      </w:r>
    </w:p>
    <w:p>
      <w:pPr>
        <w:spacing w:before="40" w:after="40"/>
        <w:ind w:left="283"/>
      </w:pPr>
      <w:r>
        <w:rPr>
          <w:rFonts w:ascii="Calibri" w:hAnsi="Calibri"/>
          <w:b/>
          <w:color w:val="4A6B25"/>
          <w:sz w:val="20"/>
        </w:rPr>
        <w:t xml:space="preserve">3. </w:t>
      </w:r>
      <w:r>
        <w:rPr>
          <w:rFonts w:ascii="Calibri" w:hAnsi="Calibri"/>
          <w:b w:val="0"/>
          <w:color w:val="3A4A28"/>
          <w:sz w:val="20"/>
        </w:rPr>
        <w:t>China market exposure (10-15% of revenue) creates regulatory, pricing, and geopolitical risk, amplified by the 2023 anti-corruption investigation that disrupted operations and personnel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AstraZeneca's core pharmaceutical business is well protected from AI disruption. Drug manufacturing, clinical trials, regulatory approval, and patient care require physical-world processes, deeply regulated frameworks, and decades of accumulated expertise that AI cannot substitute [3]. The company's oncology franchise, rare disease portfolio, and global distribution infrastructure create structural moats. AI is positioned as an enabler rather than a disruptor, with potential to accelerate drug discovery timelines and improve clinical trial efficiency. Analysts see zero substitution risk to AstraZeneca's core business from AI. The modest risk comes from AI-native biotech startups potentially using AI to discover competing therapies faster. AI Opportunity (1/1): AstraZeneca has established a dedicated AI unit and is deploying generative AI across R&amp;D, clinical trial design, and operations at scale. CEO Soriot publicly stated that 'AI is affecting every part of our company' in June 2026, and the company invested a year in proofs of concept before scaling deployment [3]. While specific AI revenue figures are not disclosed, the integration of AI into drug discovery and operations creates measurable value across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AstraZeneca Q1 2026 Results Announcement — astrazeneca.com, April 2026</w:t>
      </w:r>
    </w:p>
    <w:p>
      <w:pPr>
        <w:spacing w:before="20" w:after="20"/>
        <w:ind w:left="170"/>
      </w:pPr>
      <w:r>
        <w:rPr>
          <w:rFonts w:ascii="Calibri" w:hAnsi="Calibri"/>
          <w:b/>
          <w:color w:val="4A6B25"/>
          <w:sz w:val="15"/>
        </w:rPr>
        <w:t xml:space="preserve">2. </w:t>
      </w:r>
      <w:r>
        <w:rPr>
          <w:rFonts w:ascii="Calibri" w:hAnsi="Calibri"/>
          <w:b w:val="0"/>
          <w:color w:val="3A4A28"/>
          <w:sz w:val="17"/>
        </w:rPr>
        <w:t>AstraZeneca Full Year 2025 Results and 2026 Guidance — Investing.com, February 2026</w:t>
      </w:r>
    </w:p>
    <w:p>
      <w:pPr>
        <w:spacing w:before="20" w:after="20"/>
        <w:ind w:left="170"/>
      </w:pPr>
      <w:r>
        <w:rPr>
          <w:rFonts w:ascii="Calibri" w:hAnsi="Calibri"/>
          <w:b/>
          <w:color w:val="4A6B25"/>
          <w:sz w:val="15"/>
        </w:rPr>
        <w:t xml:space="preserve">3. </w:t>
      </w:r>
      <w:r>
        <w:rPr>
          <w:rFonts w:ascii="Calibri" w:hAnsi="Calibri"/>
          <w:b w:val="0"/>
          <w:color w:val="3A4A28"/>
          <w:sz w:val="17"/>
        </w:rPr>
        <w:t>CNBC — AstraZeneca CEO: AI is affecting every part of our company, June 2026</w:t>
      </w:r>
    </w:p>
    <w:p>
      <w:pPr>
        <w:spacing w:before="20" w:after="20"/>
        <w:ind w:left="170"/>
      </w:pPr>
      <w:r>
        <w:rPr>
          <w:rFonts w:ascii="Calibri" w:hAnsi="Calibri"/>
          <w:b/>
          <w:color w:val="4A6B25"/>
          <w:sz w:val="15"/>
        </w:rPr>
        <w:t xml:space="preserve">4. </w:t>
      </w:r>
      <w:r>
        <w:rPr>
          <w:rFonts w:ascii="Calibri" w:hAnsi="Calibri"/>
          <w:b w:val="0"/>
          <w:color w:val="3A4A28"/>
          <w:sz w:val="17"/>
        </w:rPr>
        <w:t>AstraZeneca Sustainability Report 2023 and ESG Ratings (MSCI: AA),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AZN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