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BAH</w:t>
      </w:r>
      <w:r>
        <w:rPr>
          <w:rFonts w:ascii="Calibri" w:hAnsi="Calibri"/>
          <w:b/>
          <w:color w:val="1A2010"/>
          <w:sz w:val="40"/>
        </w:rPr>
        <w:t xml:space="preserve">  Booz Allen Hamilton Holding Corporation</w:t>
      </w:r>
    </w:p>
    <w:p>
      <w:pPr>
        <w:spacing w:after="120"/>
      </w:pPr>
      <w:r>
        <w:rPr>
          <w:rFonts w:ascii="Calibri" w:hAnsi="Calibri"/>
          <w:b/>
          <w:color w:val="6E8450"/>
          <w:sz w:val="18"/>
        </w:rPr>
        <w:t>DIVIDEND SLEEVE · 2026-07-12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Consulting &amp; Other Services · NYSE · United States</w:t>
      </w:r>
    </w:p>
    <w:p>
      <w:pPr>
        <w:spacing w:after="80"/>
      </w:pPr>
      <w:r>
        <w:rPr>
          <w:rFonts w:ascii="Calibri" w:hAnsi="Calibri"/>
          <w:b w:val="0"/>
          <w:color w:val="3A4A28"/>
          <w:sz w:val="20"/>
        </w:rPr>
        <w:t>Booz Allen Hamilton is the largest pure-play consulting and technology services provider to the U.S. federal government, with 98% of revenue from federal agencies including DoD, intelligence, and civil agencies. The firm is the prime digital integrator for the Department of Defense and the leading provider of AI to the U.S. federal government. Founded in 1914, headquartered in McLean, Virginia.</w:t>
      </w:r>
    </w:p>
    <w:p>
      <w:r>
        <w:rPr>
          <w:rFonts w:ascii="Calibri" w:hAnsi="Calibri"/>
          <w:b/>
          <w:color w:val="6E8450"/>
          <w:sz w:val="18"/>
        </w:rPr>
        <w:t>35,800 Employees · https://www.boozallen.com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Booz Allen's VoLT (Velocity, Leadership, Technology) strategy has transformed the firm from traditional management consulting into a technology-forward digital services company, with AI revenue growing from $600M in FY2024 to $800M in FY2025 [1][3]. The $100M venture capital fund targets AI/ML, cybersecurity, and deep tech startups. However, FY2026 revenue declined 6.4% to $11.2B as the civil segment faced unprecedented headwinds from DOGE-driven contract reviews [1]. AI Deployment (2/2): BAH generated approximately $800M in AI revenue in FY2025, with specific products shipping including Velox Reverser (AI-native malware reverse engineering) and a strategic partnership with OpenAI for national security AI applications [3][7]. Market Share (1/2): Largest pure-play federal consulting firm with dominant positions in defense analytics and intelligence community work, but faces strong competition from Leidos, SAIC, and Accenture Federal Services for overall government IT market leadership [1]. Product Pipeline (1/2): AI-powered NextG platform and expanding cyber capabilities are in active development, though specific launch timelines and revenue visibility are limited beyond broad FY2027 guidance of 0-4% revenue growth [1]. R&amp;D Intensity (1/1): The $100M venture fund, VoLT internal investments, and technology-first hiring strategy represent above-average R&amp;D intensity for the government services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'Empower People to Change the World' is specific, thoughtful, and genuinely differentiating — connecting government consulting work to a larger purpose of national impact [4]. The mission has been consistent across leadership transitions and shapes strategic decisions through VoLT. Core values (unflinching courage, passionate service, ferocious integrity) are distinctive and well-articulated. Community Impact (1/2): Booz Allen maintains corporate philanthropy programs, a substantial veteran workforce, and meaningful national-security contributions, but no specific dollar amounts or distinctive charitable programs were identified beyond general corporate giving [4]. Employee Retention (1/2): 79% of employees say the mission motivates them, and 21% cite the mission as their primary reason for staying [4]. However, Glassdoor reviews reveal concerns about nepotism in advancement and disconnect between leadership messaging and internal reality, and 2,500 layoffs in FY2026 strained cultural trust [5]. Insider Buying (2/2): CEO Horacio Rozanski purchased 23,800 shares for $2.01M at $84.66 per share in October 2025, demonstrating meaningful insider conviction during a period of significant stock price weakness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delivered $11.2B revenue (down 6.4% YoY) but improved profitability with adjusted EBITDA margin expanding to 11% and strong free cash flow of $951M [1]. ROE of 80.74% is exceptionally high, driven by an asset-light services model with aggressive leverage — D/E of 373% exceeds the 300% floor, scoring zero on that metric [6]. Forward P/E of 10.6x is well below the 20x target, reflecting deep value pricing after a 40%+ drawdown from 2024 highs. Profit margin of 7.59% is constrained by the labor-intensive services business model. Strong dividend profile anchors the score: 14 consecutive years of increases, 33% payout ratio, and exceptional 14.89% 5-year dividend growth CAGR — more than double inflation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Booz Allen under CEO Horacio Rozanski demonstrates mixed infinite game characteristics. The 'Empower People to Change the World' purpose is genuine and has guided the VoLT transformation strategy, but the Littlejohn data breach affecting 406,000 taxpayers and 2,500 layoffs in FY2026 reveal governance gaps. The willingness to invest heavily in AI and technology capabilities during a revenue downturn shows some courage, but the transformation remains incremental rather than existential.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'Empower People to Change the World' is a genuine purpose that connects Booz Allen's government consulting work to national impact and societal benefit [4]. The purpose has been consistent across the VoLT transformation and shapes hiring, investment, and strategic decisions. However, the Littlejohn data breach affecting 406,000 taxpayers damaged the cause's credibility, and the company's 98% federal revenue concentration means the cause is partially contingent on government spending priorities rather than internally 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under CEO Rozanski (appointed 2015) provides organizational consistency, and 71% of employees approve of the executive team [5]. However, 2,500 layoffs (7% of workforce) in FY2026, Glassdoor concerns about nepotism in promotion ('for every 10 Senior Associates, 9 were related to or friends with someone higher up'), and disconnect between leadership values messaging and internal practices erode trust [5]. The cleared workforce creates natural team cohesion around mission-critical work.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Booz Allen's VoLT strategy was explicitly designed to differentiate from traditional competitors like Leidos and SAIC by becoming more technology-forward, demonstrating a competitive posture oriented toward self-improvement rather than rival destruction [3]. Management frames competition in terms of capability building — investing in AI, cyber, and digital transformation to serve clients better rather than to 'beat'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VoLT transformation from traditional management consulting to technology-enabled services represents meaningful strategic evolution — growing AI revenue to $800M, launching a $100M venture fund, and reshaping the workforce toward technical skills [3][7]. However, this is incremental adaptation rather than a transformative pivot; the core business model (government services contracts, time-and-materials billing)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Booz Allen continued investing heavily in AI and technology capabilities through FY2026 despite a 6.4% revenue decline, demonstrating willingness to prioritize long-term capability over short-term earnings [1][3]. CEO Rozanski's $2.01M personal stock purchase during the downturn signals conviction [6]. However, the $150M cost reduction and 2,500 layoffs represent defensive adaptation rather than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Booz Allen Hamilton trades at a deeply discounted 10.6x forward P/E after a 40%+ drawdown from 2024 highs, pricing in FY2026 revenue declining 6.4% to $11.2B as the civil segment faced unprecedented DOGE-driven headwinds [1]. Despite top-line pressure, profitability improved with adjusted EBITDA margin expanding to 11%, free cash flow of $951M, and adjusted EPS of approximately $6.50 [1]. The AI business scaling toward $800M+, record backlog of $38B with 1.1x TTM book-to-bill, and the strategic OpenAI partnership position BAH as the premier AI-enabled government services franchise [3][7]. The 3.8% dividend yield backed by a 33% payout ratio and 14.89% 5-year dividend growth CAGR provides attractive income with substantial margin of safety.</w:t>
      </w:r>
    </w:p>
    <w:p>
      <w:pPr>
        <w:spacing w:after="120"/>
      </w:pPr>
      <w:r>
        <w:rPr>
          <w:rFonts w:ascii="Calibri" w:hAnsi="Calibri"/>
          <w:b w:val="0"/>
          <w:color w:val="3A4A28"/>
          <w:sz w:val="20"/>
        </w:rPr>
        <w:t>The bear case centers on execution risk in a deteriorating federal spending environment. FY2027 guidance of 0-4% revenue growth with civil expected to decline high single digits signals continued near-term headwinds, and the Littlejohn data breach affecting 406,000 taxpayers triggered a $21M Treasury contract termination that could catalyze additional agency cancellations [1]. D/E of 373% — driven by share buybacks and an asset-light balance sheet — creates financial leverage risk if government contract flow deteriorates further. The 98% federal revenue concentration is unique single-customer risk, and generative AI threatens traditional billable-hour consulting economics even as BAH deploys AI for clients. The $62.68 stock price (vs. $93.77 average analyst target) reflects market skepticism about the pace of recovery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business scaling toward $1B+ annual revenue as defense and intelligence agencies accelerate AI adoption, with the OpenAI partnership providing differentiated national security AI capabilities</w:t>
      </w:r>
    </w:p>
    <w:p>
      <w:pPr>
        <w:spacing w:before="40" w:after="40"/>
        <w:ind w:left="283"/>
      </w:pPr>
      <w:r>
        <w:rPr>
          <w:rFonts w:ascii="Calibri" w:hAnsi="Calibri"/>
          <w:b/>
          <w:color w:val="4A6B25"/>
          <w:sz w:val="20"/>
        </w:rPr>
        <w:t xml:space="preserve">2. </w:t>
      </w:r>
      <w:r>
        <w:rPr>
          <w:rFonts w:ascii="Calibri" w:hAnsi="Calibri"/>
          <w:b w:val="0"/>
          <w:color w:val="3A4A28"/>
          <w:sz w:val="20"/>
        </w:rPr>
        <w:t>Record $38B backlog converting to revenue as funded backlog increases and national security spending grows mid-single digits in FY2027, offsetting continued civil weakness</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10.6x forward P/E toward the 15-18x historical range as revenue growth inflects positive and $150M run-rate cost savings flow through to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Littlejohn data breach fallout — Treasury's $21M contract termination could catalyze other agency cancellations, and 98% federal revenue concentration creates unique single-customer demand risk</w:t>
      </w:r>
    </w:p>
    <w:p>
      <w:pPr>
        <w:spacing w:before="40" w:after="40"/>
        <w:ind w:left="283"/>
      </w:pPr>
      <w:r>
        <w:rPr>
          <w:rFonts w:ascii="Calibri" w:hAnsi="Calibri"/>
          <w:b/>
          <w:color w:val="4A6B25"/>
          <w:sz w:val="20"/>
        </w:rPr>
        <w:t xml:space="preserve">2. </w:t>
      </w:r>
      <w:r>
        <w:rPr>
          <w:rFonts w:ascii="Calibri" w:hAnsi="Calibri"/>
          <w:b w:val="0"/>
          <w:color w:val="3A4A28"/>
          <w:sz w:val="20"/>
        </w:rPr>
        <w:t>D/E of 373% creates financial leverage risk — interest expense consumes meaningful operating income, and DOGE-driven government efficiency initiatives could extend the revenue contraction beyond FY2027</w:t>
      </w:r>
    </w:p>
    <w:p>
      <w:pPr>
        <w:spacing w:before="40" w:after="40"/>
        <w:ind w:left="283"/>
      </w:pPr>
      <w:r>
        <w:rPr>
          <w:rFonts w:ascii="Calibri" w:hAnsi="Calibri"/>
          <w:b/>
          <w:color w:val="4A6B25"/>
          <w:sz w:val="20"/>
        </w:rPr>
        <w:t xml:space="preserve">3. </w:t>
      </w:r>
      <w:r>
        <w:rPr>
          <w:rFonts w:ascii="Calibri" w:hAnsi="Calibri"/>
          <w:b w:val="0"/>
          <w:color w:val="3A4A28"/>
          <w:sz w:val="20"/>
        </w:rPr>
        <w:t>Generative AI threatens billable-hour consulting economics — even if contract volumes recover, AI-driven productivity gains could compress labor-arbitrage margins that underpin the services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Booz Allen's core business requires government security clearances, physical presence in classified facilities (SCIFs), deep institutional relationships with defense and intelligence agencies, and regulatory compliance that AI structurally cannot replicate [3][7]. The firm's 35,800 cleared professionals operating on classified networks represent a workforce moat that no AI system can substitute. Some consulting deliverables (reports, analysis, strategy documents) face efficiency pressure from generative AI tools, but the classified context and human judgment requirements protect the core. Analysts view AI as a net demand driver — federal AI modernization increases demand for integration services [7]. AI Opportunity (1/1): BAH generated approximately $800M in AI-related revenue in FY2025 through products like Velox Reverser, AI-powered analytics platforms for defense clients, and the strategic OpenAI partnership for national security applications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Booz Allen Hamilton Q4 and Full Year FY2026 Earnings Release — BusinessWire, May 22, 2026</w:t>
      </w:r>
    </w:p>
    <w:p>
      <w:pPr>
        <w:spacing w:before="20" w:after="20"/>
        <w:ind w:left="170"/>
      </w:pPr>
      <w:r>
        <w:rPr>
          <w:rFonts w:ascii="Calibri" w:hAnsi="Calibri"/>
          <w:b/>
          <w:color w:val="4A6B25"/>
          <w:sz w:val="15"/>
        </w:rPr>
        <w:t xml:space="preserve">2. </w:t>
      </w:r>
      <w:r>
        <w:rPr>
          <w:rFonts w:ascii="Calibri" w:hAnsi="Calibri"/>
          <w:b w:val="0"/>
          <w:color w:val="3A4A28"/>
          <w:sz w:val="17"/>
        </w:rPr>
        <w:t>Booz Allen Hamilton Q3 FY2026 Earnings Release — SEC Form 8-K, January 2026</w:t>
      </w:r>
    </w:p>
    <w:p>
      <w:pPr>
        <w:spacing w:before="20" w:after="20"/>
        <w:ind w:left="170"/>
      </w:pPr>
      <w:r>
        <w:rPr>
          <w:rFonts w:ascii="Calibri" w:hAnsi="Calibri"/>
          <w:b/>
          <w:color w:val="4A6B25"/>
          <w:sz w:val="15"/>
        </w:rPr>
        <w:t xml:space="preserve">3. </w:t>
      </w:r>
      <w:r>
        <w:rPr>
          <w:rFonts w:ascii="Calibri" w:hAnsi="Calibri"/>
          <w:b w:val="0"/>
          <w:color w:val="3A4A28"/>
          <w:sz w:val="17"/>
        </w:rPr>
        <w:t>GovCon Wire — Booz Allen Reports Strong Profitability in FY2026 as AI, Cyber and Defense Tech Investments Accelerate, May 2026</w:t>
      </w:r>
    </w:p>
    <w:p>
      <w:pPr>
        <w:spacing w:before="20" w:after="20"/>
        <w:ind w:left="170"/>
      </w:pPr>
      <w:r>
        <w:rPr>
          <w:rFonts w:ascii="Calibri" w:hAnsi="Calibri"/>
          <w:b/>
          <w:color w:val="4A6B25"/>
          <w:sz w:val="15"/>
        </w:rPr>
        <w:t xml:space="preserve">4. </w:t>
      </w:r>
      <w:r>
        <w:rPr>
          <w:rFonts w:ascii="Calibri" w:hAnsi="Calibri"/>
          <w:b w:val="0"/>
          <w:color w:val="3A4A28"/>
          <w:sz w:val="17"/>
        </w:rPr>
        <w:t>Booz Allen Hamilton — Purpose and Values, Our Heritage — boozallen.com,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Booz Allen Hamilton Reviews, Culture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BAH Statistics, Dividend Data, and Valuation Metrics,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AInvest — Booz Allen Hamilton: Pioneering AI and National Security as a High-Growth Investment Opportunity,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