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BAK</w:t>
      </w:r>
      <w:r>
        <w:rPr>
          <w:rFonts w:ascii="Calibri" w:hAnsi="Calibri"/>
          <w:b/>
          <w:color w:val="1A2010"/>
          <w:sz w:val="40"/>
        </w:rPr>
        <w:t xml:space="preserve">  Braskem S.A.</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Chemicals · NYSE · Brazil</w:t>
      </w:r>
    </w:p>
    <w:p>
      <w:pPr>
        <w:spacing w:after="80"/>
      </w:pPr>
      <w:r>
        <w:rPr>
          <w:rFonts w:ascii="Calibri" w:hAnsi="Calibri"/>
          <w:b w:val="0"/>
          <w:color w:val="3A4A28"/>
          <w:sz w:val="20"/>
        </w:rPr>
        <w:t>Braskem S.A. is the largest petrochemical company in Latin America, producing thermoplastic resins (polyethylene, polypropylene), basic chemicals, and specialty materials. The company operates manufacturing facilities across Brazil, the United States, Mexico, and Europe, processing naphtha and gas-based feedstocks into polymers used in packaging, automotive, construction, and consumer goods. Braskem is also a global leader in biopolymers through its I'm green bio-based polymer line derived from sugarcane ethanol and Wenew recycled resin products. Founded in 1972, headquartered in Camacari, Brazil. Market cap approximately $956 million. ADR trades on NYSE.</w:t>
      </w:r>
    </w:p>
    <w:p>
      <w:r>
        <w:rPr>
          <w:rFonts w:ascii="Calibri" w:hAnsi="Calibri"/>
          <w:b/>
          <w:color w:val="6E8450"/>
          <w:sz w:val="18"/>
        </w:rPr>
        <w:t>8,233 Employees · https://www.braskem.com.br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Braskem has developed two meaningful sustainable product lines — I'm green bio-based polymers from sugarcane ethanol (delivering a negative carbon footprint with international certification) and Wenew recycled resins with 85,000 tons of cumulative sales — representing incremental rather than transformative innovation in a commodity chemical industry [2]. No business model transformations or market-defining product launches in the last 5 years. AI Deployment (0/2): No evidence of AI-powered products, AI-driven cost savings, or meaningful AI deployment was found in Braskem's operations or product portfolio. Market Share (1/2): Braskem is the largest petrochemical company in Latin America and a meaningful global player in polyethylene and polypropylene, with leadership in bio-based polymers targeting 1,000,000 tons of biopolymers by 2030 [2]. However, globally it competes against much larger players like BASF, Dow, and LyondellBasell. Product Pipeline (1/2): The biopolymer expansion targets 1 million tons by 2030 with a 15% GHG reduction goal, and the company is expanding its maritime logistics fleet (Blooming Future tanker fleet with four LR1 tankers by early 2027), but timelines are broad and revenue impact is uncertain [2][4]. R&amp;D Intensity (0/1): No specific R&amp;D spending data was found. Petrochemical companies typically have low R&amp;D intensity relative to revenue, and Braskem's financial distress limits investment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Braskem's stated vision focuses on 'improving people's lives through sustainable chemicals and plastics solutions' with a commitment to the Circular Economy [2]. This is clear — connecting petrochemicals to human quality of life and environmental sustainability — but not truly distinctive, as most major chemical companies now articulate similar sustainability-oriented purposes. Community Impact (0/2): No specific community investment programs, foundation activity, or charitable giving amounts were identified for Braskem. Employee Retention (0/2): The company has approximately 8,233 employees, but no retention, turnover, or tenure data is publicly available. The company's financial distress (creditor protection, negative equity) creates organizational instability that likely pressures retention. Insider Buying (0/2): No insider buying data was identified. The stock has declined from $5.40 to $2.67 over the past year, and the company's distressed financial position makes insider buying unlikely.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passing the liquidity floor (daily dollar volume of approximately $3.4M), every financial metric is deeply distressed. Debt-to-equity is -423% reflecting negative stockholders' equity — Braskem carries R$12.95B in total debt against only R$895.8M in cash [1][3]. Net loss of $1.75B on $12.79B revenue produces a negative profit margin of approximately -13.7%. ROE is not calculable on negative equity. Revenue declined 15.5% YoY. The company has received 60 days of creditor protection from a Sao Paulo court, and leverage stands at a staggering 16.81x EBITDA [3]. Forward PE and PEG ratio are not available due to unprofitability. The only marginally positive signal is that Q1 2026 EBITDA surged 76% QoQ to $192M, suggesting early cyclical recovery in resin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Braskem exhibits finite game behavior driven by financial necessity rather than strategic choice. The company carries 16.81x EBITDA leverage, negative equity, and has sought creditor protection — all hallmarks of an organization playing to survive the current quarter rather than building for decades. While the sustainability vision (biopolymers, circular economy) gestures toward infinite thinking, the company's immediate reality is debt restructuring and creditor negotiations. Sinek would observe that genuine infinite game thinking requires financial stability to invest for the long term, which Braskem currently lacks.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Braskem's circular economy and biopolymer vision — 'improving lives through sustainable chemicals and plastics' with targets of 1 million tons of biopolymers by 2030 — articulates a genuine purpose beyond profit [2]. However, this sustainability mission is relatively recent layering on a decades-old commodity chemical business, and the company's financial distress (creditor protection, negative equity) means the cause cannot meaningfully guide strategic decisions when survival dominates the agenda.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Braskem's organizational environment is under severe stress from financial distress — creditor protection proceedings, 16.81x leverage, and negative equity create existential uncertainty for 8,233 employees [1][3]. No specific data on employee retention, turnover, or cultural practices was found. Companies in financial distress typically experience elevated voluntary turnover, reduced psychological safety, and short-term survival thinking at all organizational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Braskem positions itself as a sustainability leader relative to peers but does not publicly acknowledge competitors' strengths as motivation for self-improvement. Press communications focus on the company's own achievements (biopolymer leadership, Wenew sales volumes) rather than learning from rivals like BASF, Dow, or LyondellBasell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Braskem's expansion from pure commodity petrochemicals into bio-based polymers (I'm green from sugarcane ethanol) and recycled resins (Wenew) represents meaningful strategic evolution, entering adjacent sustainable materials markets [2]. The biopolymer business is a genuine new platform built on different feedstock and value proposition. However, the traditional petrochemical business still dominates revenue, and the pivot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strategic decisions appear driven by financial necessity rather than courageous long-term investment. Under 16.81x leverage with creditor protection, capital allocation is constrained by debt service and survival requirements [3]. While the biopolymer investment represented forward-looking capital allocation, the company's current financial position prevents meaningful long-term bets. No examples of leadership sacrificing near-term results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Braskem offers potential deep-value upside as a cyclical recovery play — Q1 2026 EBITDA surged 76% QoQ to $192M as resin pricing improved, and 2026 revenue guidance of $15.76B implies recovery from the current $12.79B TTM run-rate [1]. The company is the largest petrochemical producer in Latin America with real physical assets, a growing biopolymer franchise targeting 1 million tons by 2030, and a stock price ($2.67) near all-time lows that prices in near-worst-case scenarios [2]. If the global petrochemical cycle turns and Braskem successfully restructures its debt, the equity could re-rate significantly. Six analysts rate the stock 'Hold' with a $3.64 average target (36% upside).</w:t>
      </w:r>
    </w:p>
    <w:p>
      <w:pPr>
        <w:spacing w:after="120"/>
      </w:pPr>
      <w:r>
        <w:rPr>
          <w:rFonts w:ascii="Calibri" w:hAnsi="Calibri"/>
          <w:b w:val="0"/>
          <w:color w:val="3A4A28"/>
          <w:sz w:val="20"/>
        </w:rPr>
        <w:t>The bear case is severe and centers on the company's distressed capital structure. Debt-to-equity of -423% and leverage of 16.81x EBITDA mean Braskem's equity is effectively an out-of-the-money call option on a petrochemical cycle recovery [3]. The company has sought creditor protection from a Sao Paulo court, signaling imminent risk of restructuring that could wipe out equity holders. Revenue declined 15.5% YoY driven by weak resin pricing and geopolitical headwinds increasing feedstock costs. The stock trades on the NYSE as an ADR, adding complexity for US investors, and Brazil's macroeconomic environment (currency volatility, political risk) introduces additional layers of uncertainty. Even in a cyclical recovery scenario, the massive debt burden means earnings accrue primarily to creditors rather than equity holders until leverage normalizes below 5-6x.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petrochemical cycle recovery with resin pricing improvement extending the Q1 2026 EBITDA momentum ($192M, up 76% QoQ) through the remainder of 2026</w:t>
      </w:r>
    </w:p>
    <w:p>
      <w:pPr>
        <w:spacing w:before="40" w:after="40"/>
        <w:ind w:left="283"/>
      </w:pPr>
      <w:r>
        <w:rPr>
          <w:rFonts w:ascii="Calibri" w:hAnsi="Calibri"/>
          <w:b/>
          <w:color w:val="4A6B25"/>
          <w:sz w:val="20"/>
        </w:rPr>
        <w:t xml:space="preserve">2. </w:t>
      </w:r>
      <w:r>
        <w:rPr>
          <w:rFonts w:ascii="Calibri" w:hAnsi="Calibri"/>
          <w:b w:val="0"/>
          <w:color w:val="3A4A28"/>
          <w:sz w:val="20"/>
        </w:rPr>
        <w:t>Successful debt restructuring that reduces leverage from 16.81x EBITDA toward a manageable 5-6x range, potentially converting some debt to equity or extending maturities</w:t>
      </w:r>
    </w:p>
    <w:p>
      <w:pPr>
        <w:spacing w:before="40" w:after="40"/>
        <w:ind w:left="283"/>
      </w:pPr>
      <w:r>
        <w:rPr>
          <w:rFonts w:ascii="Calibri" w:hAnsi="Calibri"/>
          <w:b/>
          <w:color w:val="4A6B25"/>
          <w:sz w:val="20"/>
        </w:rPr>
        <w:t xml:space="preserve">3. </w:t>
      </w:r>
      <w:r>
        <w:rPr>
          <w:rFonts w:ascii="Calibri" w:hAnsi="Calibri"/>
          <w:b w:val="0"/>
          <w:color w:val="3A4A28"/>
          <w:sz w:val="20"/>
        </w:rPr>
        <w:t>Biopolymer franchise growth toward the 1 million ton target by 2030, with I'm green and Wenew commanding premium pricing over commodity resins and expanding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Creditor protection proceedings and 16.81x EBITDA leverage create existential risk for equity holders — any restructuring could substantially dilute or eliminate common equity value</w:t>
      </w:r>
    </w:p>
    <w:p>
      <w:pPr>
        <w:spacing w:before="40" w:after="40"/>
        <w:ind w:left="283"/>
      </w:pPr>
      <w:r>
        <w:rPr>
          <w:rFonts w:ascii="Calibri" w:hAnsi="Calibri"/>
          <w:b/>
          <w:color w:val="4A6B25"/>
          <w:sz w:val="20"/>
        </w:rPr>
        <w:t xml:space="preserve">2. </w:t>
      </w:r>
      <w:r>
        <w:rPr>
          <w:rFonts w:ascii="Calibri" w:hAnsi="Calibri"/>
          <w:b w:val="0"/>
          <w:color w:val="3A4A28"/>
          <w:sz w:val="20"/>
        </w:rPr>
        <w:t>Geopolitical tensions increasing feedstock costs (naphtha, ethane) combined with weak global demand for plastics could extend the petrochemical downcycle and delay EBITDA recovery</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and -423% debt-to-equity ratio mean the company cannot access traditional capital markets, leaving it dependent on creditor negotiations and asset sales for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Petrochemical manufacturing is a physical-world industry that is structurally immune to AI disruption — producing polyethylene and polypropylene from naphtha and ethane requires massive industrial facilities, complex chemical processes, regulatory compliance (environmental, safety), and physical supply chains that AI cannot replicate or substitute [1]. Braskem operates crackers, reactors, and processing plants across the Americas that represent billions in physical infrastructure. If anything, AI increases demand for plastics through data center growth (cooling systems, insulation, electronic components). The only vulnerability is that AI could improve competitors' production efficiency, but this affects the entire industry equally. AI Opportunity (0/1): Braskem does not generate AI-related revenue and has not deployed meaningful AI capabilities in its operations or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BAK Stock Price $2.67, Revenue $12.79B, Q1 2026 EPS $0.51 Beat, Financial Overview,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Braskem Reinforces Leadership in Sustainable Solutions at K Fair 2025, 1M Ton Biopolymer Target by 2030</w:t>
      </w:r>
    </w:p>
    <w:p>
      <w:pPr>
        <w:spacing w:before="20" w:after="20"/>
        <w:ind w:left="170"/>
      </w:pPr>
      <w:r>
        <w:rPr>
          <w:rFonts w:ascii="Calibri" w:hAnsi="Calibri"/>
          <w:b/>
          <w:color w:val="4A6B25"/>
          <w:sz w:val="15"/>
        </w:rPr>
        <w:t xml:space="preserve">3. </w:t>
      </w:r>
      <w:r>
        <w:rPr>
          <w:rFonts w:ascii="Calibri" w:hAnsi="Calibri"/>
          <w:b w:val="0"/>
          <w:color w:val="3A4A28"/>
          <w:sz w:val="17"/>
        </w:rPr>
        <w:t>Investing.com — BAK Financial Summary, D/E -423%, Leverage 16.81x, Creditor Protection,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Braskem Board Meeting and Leadership Update, Maritime Fleet Expansion,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