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BANC</w:t>
      </w:r>
      <w:r>
        <w:rPr>
          <w:rFonts w:ascii="Calibri" w:hAnsi="Calibri"/>
          <w:b/>
          <w:color w:val="1A2010"/>
          <w:sz w:val="40"/>
        </w:rPr>
        <w:t xml:space="preserve">  Banc of California, Inc.</w:t>
      </w:r>
    </w:p>
    <w:p>
      <w:pPr>
        <w:spacing w:after="120"/>
      </w:pPr>
      <w:r>
        <w:rPr>
          <w:rFonts w:ascii="Calibri" w:hAnsi="Calibri"/>
          <w:b/>
          <w:color w:val="6E8450"/>
          <w:sz w:val="18"/>
        </w:rPr>
        <w:t>DIVIDEND SLEEVE · 2026-07-10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Regional Banking · NYSE · United States</w:t>
      </w:r>
    </w:p>
    <w:p>
      <w:pPr>
        <w:spacing w:after="80"/>
      </w:pPr>
      <w:r>
        <w:rPr>
          <w:rFonts w:ascii="Calibri" w:hAnsi="Calibri"/>
          <w:b w:val="0"/>
          <w:color w:val="3A4A28"/>
          <w:sz w:val="20"/>
        </w:rPr>
        <w:t>Banc of California is a regional bank headquartered in Los Angeles providing diversified financial services including commercial banking, real estate lending, treasury management, and payments solutions to businesses and individuals across the Western United States. Formed through the transformative November 2023 merger with PacWest Bancorp during the regional banking crisis, the combined entity has approximately $38 billion in total assets.</w:t>
      </w:r>
    </w:p>
    <w:p>
      <w:r>
        <w:rPr>
          <w:rFonts w:ascii="Calibri" w:hAnsi="Calibri"/>
          <w:b/>
          <w:color w:val="6E8450"/>
          <w:sz w:val="18"/>
        </w:rPr>
        <w:t>3,000 Employees · https://bancofcal.com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November 2023 merger with PacWest Bancorp was a significant business model transformation executed during the regional banking crisis, creating a stronger combined entity with $38B in assets and enabling cost synergies through branch consolidation and operational integration [1][2]. AI Deployment (0/2): No evidence of AI-powered products shipping to customers or quantified AI-driven cost savings; the bank acknowledges generative AI fraud risks but has not deployed AI offensively [3]. Market Share (0/2): BANC is a mid-tier regional bank in Southern California without dominant market share; it competes against larger institutions including JPMorgan, Wells Fargo, and Bank of America in its primary markets. Product Pipeline (1/2): BancEdge, a recently launched merchant acquiring payments platform led by new hire Chris Healy, represents an expansion into payments processing, though the platform is nascent with no reported revenue [3]. R&amp;D Intensity (0/1): Technology spending is at or below industry average for regional banks with no reported above-average investment in proprietary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Banc of California's mission centers on being a premier community bank serving businesses and individuals in the Western US, which is generic and interchangeable with any peer regional bank without articulating a deeper purpose beyond financial services [3]. Community Impact (1/2): As a CRA-regulated institution, BANC engages in community lending and has integrated ESG programs from both legacy organizations following the PacWest merger, building on the SASB framework for commercial banks, though no specific dollar-amount community investment programs were identified [4]. Employee Retention (0/2): No specific employee tenure data, voluntary turnover rates, or retention metrics were found in public sources. Insider Buying (0/2): No evidence of meaningful net insider buying by CEO Jared Wolff or other executives in the last 12 months was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showing strong post-merger financial performance. Q1 2026 delivered $286.9M total revenue (up 8% YoY) with diluted EPS of $0.39, a 50% increase from Q1 2025, and net interest margin expanding to 3.24% [1]. Full year 2025 net earnings were $189.2M ($1.17 EPS), up from $87.1M ($0.52 EPS) in 2024, demonstrating successful merger integration with positive operating leverage [2]. Debt-to-equity of 85% is manageable for a bank, profit margin of 21.8% is strong, and forward P/E of approximately 12.4 based on annualized Q1 earnings reflects attractive valuation. Dividend payout ratio of 30.8% provides significant earnings retention capacity. Consecutive years paid estimated at 10 years for the legacy BANC entity. Weakness in ROE at 6.5% (below 15% target) and only 1 year of consecutive dividend growth following merger-related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Banc of California under CEO Jared Wolff has demonstrated competent execution in integrating the PacWest merger and delivering improved financial performance, but the organization lacks a compelling Just Cause beyond being a better regional bank. The merger was strategically pragmatic rather than mission-driven, and the company's competitive language focuses on market position and growth metrics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BANC exists to provide banking services and grow shareholder value — there is no articulated vision of a better future that transcends the business itself. The post-merger strategy focuses on operational efficiency, margin expansion, and market share gains in Southern California, which are finite game objectives [1][2]. The company's purpose is interchangeable with any peer regional bank.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reviews generally describe an improving culture post-merger, with CEO Wolff praised for transparency and approachability — 'Great culture starts from the top' and leadership described as open about opportunities and risks [3]. However, some employees cite concerns about toxic work environments in certain divisions and inconsistent HR responsiveness, suggesting trust varies meaningfully across the organization following the complex PacWest integration.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BANC's competitive positioning is framed in terms of market share, asset growth, and NIM expansion relative to peer banks — finite metrics focused on winning rather than improving [1]. Management commentary does not reference learning from larger competitors or acknowledging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PacWest merger during the 2023 regional banking crisis was a significant strategic pivot that transformed BANC from a $9B asset bank into a $38B institution, demonstrating willingness to fundamentally reshape the business during a period of extreme industry stress [2]. The BancEdge payments platform expansion also shows openness to adjacent markets. However, these moves were reactive to crisis conditions and competitive pressures rather than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Wolff showed courage in pursuing and closing the PacWest acquisition during the height of the 2023 regional banking crisis when many institutions were retrenching, and then executing a 20% dividend increase in early 2026 while investing in new payments capabilities [1][2]. However, these decisions, while bold, were largely driven by financial opportunity rather than principled long-term vision, and the post-merger integration has followed a conventional cost-optimization playbook.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Banc of California's post-merger transformation is delivering strong results: Q1 2026 revenue of $286.9M grew 8% YoY with diluted EPS of $0.39 (up 50%), net interest margin expanded to 3.24%, and noninterest expense declined 1% YoY demonstrating positive operating leverage [1]. Full year 2025 EPS of $1.17 more than doubled from $0.52 in 2024, reflecting successful PacWest integration synergies [2]. At a forward P/E of approximately 12.4x with a 2.3% dividend yield (recently increased 20%), BANC offers compelling value relative to peers, with embedded asset repricing opportunities and strong loan pipelines supporting continued earnings growth. The BancEdge payments platform represents an additional growth vector.</w:t>
      </w:r>
    </w:p>
    <w:p>
      <w:pPr>
        <w:spacing w:after="120"/>
      </w:pPr>
      <w:r>
        <w:rPr>
          <w:rFonts w:ascii="Calibri" w:hAnsi="Calibri"/>
          <w:b w:val="0"/>
          <w:color w:val="3A4A28"/>
          <w:sz w:val="20"/>
        </w:rPr>
        <w:t>The primary risk is that BANC's impressive earnings growth is substantially driven by merger synergies and asset repricing that are inherently one-time in nature — once fully realized, the organic growth rate of a mid-tier Southern California regional bank is likely mid-single digits [1][2]. ROE of 6.5% remains well below the 15% target and below peer banks, indicating the combined entity has not yet achieved return levels that justify its cost of capital. The PacWest merger introduced meaningful commercial real estate concentration risk in an uncertain CRE market, and the bank's $38B asset base approaches the $50B threshold that triggers enhanced regulatory requirements. The nascent BancEdge payments strategy faces intense competition from established fintech players with deeper technology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net interest margin expansion from embedded asset repricing opportunities as legacy PacWest loans mature and are replaced at higher market rates</w:t>
      </w:r>
    </w:p>
    <w:p>
      <w:pPr>
        <w:spacing w:before="40" w:after="40"/>
        <w:ind w:left="283"/>
      </w:pPr>
      <w:r>
        <w:rPr>
          <w:rFonts w:ascii="Calibri" w:hAnsi="Calibri"/>
          <w:b/>
          <w:color w:val="4A6B25"/>
          <w:sz w:val="20"/>
        </w:rPr>
        <w:t xml:space="preserve">2. </w:t>
      </w:r>
      <w:r>
        <w:rPr>
          <w:rFonts w:ascii="Calibri" w:hAnsi="Calibri"/>
          <w:b w:val="0"/>
          <w:color w:val="3A4A28"/>
          <w:sz w:val="20"/>
        </w:rPr>
        <w:t>BancEdge merchant acquiring platform scaling across existing commercial banking clients, potentially creating a recurring fee income stream to diversify revenue</w:t>
      </w:r>
    </w:p>
    <w:p>
      <w:pPr>
        <w:spacing w:before="40" w:after="40"/>
        <w:ind w:left="283"/>
      </w:pPr>
      <w:r>
        <w:rPr>
          <w:rFonts w:ascii="Calibri" w:hAnsi="Calibri"/>
          <w:b/>
          <w:color w:val="4A6B25"/>
          <w:sz w:val="20"/>
        </w:rPr>
        <w:t xml:space="preserve">3. </w:t>
      </w:r>
      <w:r>
        <w:rPr>
          <w:rFonts w:ascii="Calibri" w:hAnsi="Calibri"/>
          <w:b w:val="0"/>
          <w:color w:val="3A4A28"/>
          <w:sz w:val="20"/>
        </w:rPr>
        <w:t>Sustained positive operating leverage from cost synergy realization driving EPS growth toward consensus targets of $1.70-1.85 for full year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6.5% is less than half the 15% target, indicating the combined entity has not achieved returns that adequately compensate for regional banking risk and CRE exposure</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concentration from legacy PacWest portfolio creates vulnerability to CRE market deterioration in Southern California</w:t>
      </w:r>
    </w:p>
    <w:p>
      <w:pPr>
        <w:spacing w:before="40" w:after="40"/>
        <w:ind w:left="283"/>
      </w:pPr>
      <w:r>
        <w:rPr>
          <w:rFonts w:ascii="Calibri" w:hAnsi="Calibri"/>
          <w:b/>
          <w:color w:val="4A6B25"/>
          <w:sz w:val="20"/>
        </w:rPr>
        <w:t xml:space="preserve">3. </w:t>
      </w:r>
      <w:r>
        <w:rPr>
          <w:rFonts w:ascii="Calibri" w:hAnsi="Calibri"/>
          <w:b w:val="0"/>
          <w:color w:val="3A4A28"/>
          <w:sz w:val="20"/>
        </w:rPr>
        <w:t>Approaching the $50B enhanced prudential standards threshold would trigger significantly higher compliance costs and regulatory capital requirements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Banc of California's core commercial banking, real estate lending, and treasury management businesses are protected by regulatory requirements, relationship-driven lending models, and physical market presence in Southern California that AI cannot easily replicate [3]. Commercial loan underwriting requires judgment, local market knowledge, and ongoing relationship management that creates meaningful switching costs. However, consumer-facing banking functions face increasing fintech and AI-powered competition — robo-advisory, automated lending platforms, and AI-driven payment solutions could erode margins in commoditized banking products. The nascent BancEdge payments platform faces direct competition from AI-powered fintech platforms like Stripe [3]. AI Opportunity (0/1): BANC has not deployed AI products generating revenue and has not reported quantified AI-driven efficiency gains, though the company acknowledges AI's role in fraud detection and risk management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Banc of California Q1 2026 Earnings Release — revenue $286.9M, EPS $0.39, NIM 3.24%, April 2026</w:t>
      </w:r>
    </w:p>
    <w:p>
      <w:pPr>
        <w:spacing w:before="20" w:after="20"/>
        <w:ind w:left="170"/>
      </w:pPr>
      <w:r>
        <w:rPr>
          <w:rFonts w:ascii="Calibri" w:hAnsi="Calibri"/>
          <w:b/>
          <w:color w:val="4A6B25"/>
          <w:sz w:val="15"/>
        </w:rPr>
        <w:t xml:space="preserve">2. </w:t>
      </w:r>
      <w:r>
        <w:rPr>
          <w:rFonts w:ascii="Calibri" w:hAnsi="Calibri"/>
          <w:b w:val="0"/>
          <w:color w:val="3A4A28"/>
          <w:sz w:val="17"/>
        </w:rPr>
        <w:t>Banc of California Full Year 2025 Results and PacWest Merger Integration — net earnings $189.2M, EPS $1.17, 2026</w:t>
      </w:r>
    </w:p>
    <w:p>
      <w:pPr>
        <w:spacing w:before="20" w:after="20"/>
        <w:ind w:left="170"/>
      </w:pPr>
      <w:r>
        <w:rPr>
          <w:rFonts w:ascii="Calibri" w:hAnsi="Calibri"/>
          <w:b/>
          <w:color w:val="4A6B25"/>
          <w:sz w:val="15"/>
        </w:rPr>
        <w:t xml:space="preserve">3. </w:t>
      </w:r>
      <w:r>
        <w:rPr>
          <w:rFonts w:ascii="Calibri" w:hAnsi="Calibri"/>
          <w:b w:val="0"/>
          <w:color w:val="3A4A28"/>
          <w:sz w:val="17"/>
        </w:rPr>
        <w:t>Banc of California BancEdge Payments Platform Launch and AI Fraud Coverage — LA Business Journal and company blog, 2026</w:t>
      </w:r>
    </w:p>
    <w:p>
      <w:pPr>
        <w:spacing w:before="20" w:after="20"/>
        <w:ind w:left="170"/>
      </w:pPr>
      <w:r>
        <w:rPr>
          <w:rFonts w:ascii="Calibri" w:hAnsi="Calibri"/>
          <w:b/>
          <w:color w:val="4A6B25"/>
          <w:sz w:val="15"/>
        </w:rPr>
        <w:t xml:space="preserve">4. </w:t>
      </w:r>
      <w:r>
        <w:rPr>
          <w:rFonts w:ascii="Calibri" w:hAnsi="Calibri"/>
          <w:b w:val="0"/>
          <w:color w:val="3A4A28"/>
          <w:sz w:val="17"/>
        </w:rPr>
        <w:t>Banc of California ESG Framework and Post-Merger Governance Integration — SEC DEF 14A filing,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BANC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