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BBIO</w:t>
      </w:r>
      <w:r>
        <w:rPr>
          <w:rFonts w:ascii="Calibri" w:hAnsi="Calibri"/>
          <w:b/>
          <w:color w:val="1A2010"/>
          <w:sz w:val="40"/>
        </w:rPr>
        <w:t xml:space="preserve">  BridgeBio Pharma, Inc.</w:t>
      </w:r>
    </w:p>
    <w:p>
      <w:pPr>
        <w:spacing w:after="120"/>
      </w:pPr>
      <w:r>
        <w:rPr>
          <w:rFonts w:ascii="Calibri" w:hAnsi="Calibri"/>
          <w:b/>
          <w:color w:val="6E8450"/>
          <w:sz w:val="18"/>
        </w:rPr>
        <w:t>GROWTH SLEEVE · 2026-07-10 · Inspire: 33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52</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Healthcare · Biotechnology · NASDAQ · United States</w:t>
      </w:r>
    </w:p>
    <w:p>
      <w:pPr>
        <w:spacing w:after="80"/>
      </w:pPr>
      <w:r>
        <w:rPr>
          <w:rFonts w:ascii="Calibri" w:hAnsi="Calibri"/>
          <w:b w:val="0"/>
          <w:color w:val="3A4A28"/>
          <w:sz w:val="20"/>
        </w:rPr>
        <w:t>BridgeBio Pharma is a biopharmaceutical company focused on discovering and delivering transformative medicines for genetic diseases and cancers. Its lead product ATTRUBY (acoramidis) treats transthyretin amyloid cardiomyopathy (ATTR-CM) and has become a rapid commercial success. The company operates a distinctive hub-and-spoke model with autonomous teams focused on individual conditions supported by centralized clinical, regulatory, and commercial capabilities. Founded by CEO Neil Kumar in 2015.</w:t>
      </w:r>
    </w:p>
    <w:p>
      <w:r>
        <w:rPr>
          <w:rFonts w:ascii="Calibri" w:hAnsi="Calibri"/>
          <w:b/>
          <w:color w:val="6E8450"/>
          <w:sz w:val="18"/>
        </w:rPr>
        <w:t>700 Employees · https://bridgebio.com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(2/3): ATTRUBY (acoramidis) launched in late 2024 as a differentiated treatment for ATTR-CM competing with Pfizer's Vyndaqel/Vyndamax, achieving $180.6M in Q1 2026 net product revenue with 392% YoY growth and 24% sequential growth — a genuinely successful product launch that has opened a significant revenue stream [1]. Beyonttra adds a second commercialized asset. AI Deployment (0/2): BridgeBio explicitly values AI for improving clarity, speed, and quality of drug development work, but no AI-powered products are shipping to customers and no specific AI-driven cost savings or revenue have been quantified [3]. Market Share (1/2): ATTRUBY is the fastest-growing competitor in the ATTR-CM market, gaining share against Pfizer's established tafamidis franchise, though Pfizer retains dominant market share and ATTRUBY's ultimate competitive ceiling is unproven [1]. Product Pipeline (1/2): Multiple programs advancing including Beyonttra and gene therapy approaches, with the hub-and-spoke model enabling parallel development across conditions, though specific next-gen product timelines beyond current programs are limited [1][3]. R&amp;D Intensity (1/1): R&amp;D spending is extremely high relative to revenue, as BridgeBio continues to invest heavily in its broad pipeline even as ATTRUBY revenue ramps [1].</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(3/4): BridgeBio's mission — discovering and delivering transformative medicines for people with genetic diseases and cancers with clear unmet medical need — is specific, thoughtful, and connects the company's work to serving patients who often have no alternatives [3]. The hub-and-spoke model was deliberately designed to serve this mission by enabling speed-to-patient across multiple rare conditions simultaneously. Community Impact (0/2): No evidence of significant charitable programs, foundations, or community investment initiatives was found in public filings or company materials. Employee Retention (0/2): No specific employee tenure, turnover, or retention data was found in public sources; the decentralized model creates autonomous teams but no retention metrics are reported. Insider Buying (0/2): No evidence of meaningful net insider buying was found; a shareholder lawsuit challenged board stock-based compensation of $1.2M per director per year, described as dwarfing the approximately $400K average at similar companies, raising governance concerns [4].</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Scored mechanically on limited available metrics reflecting BridgeBio's transition from clinical-stage to commercial-stage company. Q1 2026 revenue reached $194.5M (up 67% YoY) driven by $180.6M in ATTRUBY net product revenue with 392% YoY and 24% sequential growth, demonstrating rapid commercial execution [1]. However, the company recorded a net loss of $164.0M ($0.84/share) as heavy R&amp;D and SGA investment for pipeline advancement and ATTRUBY launch activities significantly exceeded product revenue [1]. The company ended Q1 with $940.2M in cash and raised an additional $1B in preferred equity, providing substantial runway [2]. Infrastructure calculation based on revenue growth YoY (67%, score 1.0) and profit margin (deeply negative, score 0.0) as the only reliably available core metrics, with D/E, ROE, forward PE, and PEG excluded due to negative profitability distortions.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5</w:t>
      </w:r>
      <w:r>
        <w:rPr>
          <w:rFonts w:ascii="Calibri" w:hAnsi="Calibri"/>
          <w:b w:val="0"/>
          <w:color w:val="9DAF88"/>
          <w:sz w:val="18"/>
        </w:rPr>
        <w:t xml:space="preserve"> /10</w:t>
      </w:r>
    </w:p>
    <w:p>
      <w:pPr>
        <w:spacing w:after="120"/>
      </w:pPr>
      <w:r>
        <w:rPr>
          <w:rFonts w:ascii="Calibri" w:hAnsi="Calibri"/>
          <w:b w:val="0"/>
          <w:color w:val="3A4A28"/>
          <w:sz w:val="18"/>
        </w:rPr>
        <w:t>BridgeBio under founder-CEO Neil Kumar operates with a genuine purpose — treating patients with genetic diseases who often have no alternatives — and the hub-and-spoke model was designed to serve this mission at scale. However, the company is too young (founded 2015) to have its cause validated through crises or leadership transitions, and governance controversies around board compensation undermine the principled leadership narrative.</w:t>
      </w:r>
    </w:p>
    <w:p>
      <w:pPr>
        <w:spacing w:before="200" w:after="40"/>
      </w:pPr>
      <w:r>
        <w:rPr>
          <w:rFonts w:ascii="Calibri" w:hAnsi="Calibri"/>
          <w:b/>
          <w:color w:val="1A2010"/>
          <w:sz w:val="22"/>
        </w:rPr>
        <w:t>Just Cause</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(2/3): BridgeBio has a genuine cause — treating genetic diseases and cancers where patients have clear unmet medical need — that is distinctive, service-oriented, and connected to a vision larger than quarterly earnings [3]. The hub-and-spoke model was designed specifically to serve this cause by enabling parallel development across multiple rare diseases, showing that the purpose shapes strategic architecture. However, the company is only 11 years old and has not yet been tested through sustained adversity, leadership transitions, or market crises that would validate the cause's durability.</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BridgeBio's decentralized hub-and-spoke model explicitly empowers autonomous teams to operate with independence while receiving centralized support, suggesting a design philosophy that trusts front-line scientists and operators [3]. The company's culture values curiosity and experimentation. However, the board compensation controversy — with directors receiving $1.2M annually versus $400K at peers — and the resulting shareholder lawsuit suggest governance practices that may not align with a trust-based culture [4].</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BridgeBio's competitive positioning against Pfizer's tafamidis franchise in ATTR-CM is framed primarily in terms of clinical superiority and market share capture rather than mutual improvement or learning from a worthy rival [1]. No evidence was found of management acknowledging Pfizer's strengths as motivation for self-improvement or framing competition as an opportunity to get better.</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BridgeBio has evolved from a pure-discovery platform to a commercial-stage company with ATTRUBY generating nearly $200M/quarter, and has diversified beyond its initial genetic disease focus into broader indications. The $1B preferred equity raise and $500M buyback authorization show financial flexibility [2]. However, no transformative pivot or willingness to abandon a profitable business in service of a larger cause has been demonstrated — the company's evolution has been linear rather than transformative.</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Neil Kumar demonstrated courage in building and maintaining a broad, capital-intensive pipeline through years of negative operating cash flow, with the company burning hundreds of millions annually before ATTRUBY revenues materialized [1]. The decision to raise $1B in preferred equity to fund multiple simultaneous programs rather than retreating to a single-asset strategy shows willingness to invest for the long term [2]. However, the board compensation practices that prompted shareholder litigation suggest leadership may not consistently choose principle over self-interest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BridgeBio's ATTRUBY franchise is delivering exceptional commercial momentum with Q1 2026 net product revenue of $180.6M (392% YoY, 24% sequential growth), establishing BridgeBio as a credible challenger to Pfizer's $3.5B+ tafamidis franchise in the large and underpenetrated ATTR-CM market [1]. With $940.2M in cash plus $1B in freshly raised preferred equity and a $500M buyback authorization, the company has the financial firepower to simultaneously fund ATTRUBY commercialization expansion, advance its broad pipeline, and return capital to shareholders [2]. At a market cap of $17.7B, the stock prices in significant ATTRUBY success but offers additional upside from the multi-program pipeline and potential international expansion.</w:t>
      </w:r>
    </w:p>
    <w:p>
      <w:pPr>
        <w:spacing w:after="120"/>
      </w:pPr>
      <w:r>
        <w:rPr>
          <w:rFonts w:ascii="Calibri" w:hAnsi="Calibri"/>
          <w:b w:val="0"/>
          <w:color w:val="3A4A28"/>
          <w:sz w:val="20"/>
        </w:rPr>
        <w:t>The critical bear case centers on BridgeBio's deeply negative profitability — a net loss of $164M on $194.5M in Q1 2026 revenue ($0.84/share loss) indicates the company is spending nearly $2 for every $1 of revenue generated, and achieving GAAP profitability remains years away even at current ATTRUBY growth rates [1]. The $2.5B+ total debt (long-term $1.93B plus short-term $547M) combined with the $1B preferred equity raise creates a complex, leveraged capital structure that introduces dilution and financial risk if ATTRUBY growth stalls. Pfizer's dominant position with tafamidis, potential generic competition timelines, and the single-product revenue concentration (ATTRUBY is 93% of product revenue) make the investment highly binary. Board compensation practices drawing shareholder litigation add governance risk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ATTRUBY continued market share gains against Pfizer's tafamidis in ATTR-CM with potential to reach $1B+ annual revenue run-rate by year-end 2026 at current trajectory</w:t>
      </w:r>
    </w:p>
    <w:p>
      <w:pPr>
        <w:spacing w:before="40" w:after="40"/>
        <w:ind w:left="283"/>
      </w:pPr>
      <w:r>
        <w:rPr>
          <w:rFonts w:ascii="Calibri" w:hAnsi="Calibri"/>
          <w:b/>
          <w:color w:val="4A6B25"/>
          <w:sz w:val="20"/>
        </w:rPr>
        <w:t xml:space="preserve">2. </w:t>
      </w:r>
      <w:r>
        <w:rPr>
          <w:rFonts w:ascii="Calibri" w:hAnsi="Calibri"/>
          <w:b w:val="0"/>
          <w:color w:val="3A4A28"/>
          <w:sz w:val="20"/>
        </w:rPr>
        <w:t>Multiple pipeline readouts expected across genetic disease programs that could diversify revenue beyond ATTRUBY and validate the hub-and-spoke development model</w:t>
      </w:r>
    </w:p>
    <w:p>
      <w:pPr>
        <w:spacing w:before="40" w:after="40"/>
        <w:ind w:left="283"/>
      </w:pPr>
      <w:r>
        <w:rPr>
          <w:rFonts w:ascii="Calibri" w:hAnsi="Calibri"/>
          <w:b/>
          <w:color w:val="4A6B25"/>
          <w:sz w:val="20"/>
        </w:rPr>
        <w:t xml:space="preserve">3. </w:t>
      </w:r>
      <w:r>
        <w:rPr>
          <w:rFonts w:ascii="Calibri" w:hAnsi="Calibri"/>
          <w:b w:val="0"/>
          <w:color w:val="3A4A28"/>
          <w:sz w:val="20"/>
        </w:rPr>
        <w:t>International ATTRUBY regulatory approvals and commercial launches in Europe and Japan expanding the addressable patient population</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Net loss of $164M on $194.5M revenue in Q1 2026 demonstrates extreme operating expense burn that makes the path to GAAP profitability uncertain even with rapid ATTRUBY growth</w:t>
      </w:r>
    </w:p>
    <w:p>
      <w:pPr>
        <w:spacing w:before="40" w:after="40"/>
        <w:ind w:left="283"/>
      </w:pPr>
      <w:r>
        <w:rPr>
          <w:rFonts w:ascii="Calibri" w:hAnsi="Calibri"/>
          <w:b/>
          <w:color w:val="4A6B25"/>
          <w:sz w:val="20"/>
        </w:rPr>
        <w:t xml:space="preserve">2. </w:t>
      </w:r>
      <w:r>
        <w:rPr>
          <w:rFonts w:ascii="Calibri" w:hAnsi="Calibri"/>
          <w:b w:val="0"/>
          <w:color w:val="3A4A28"/>
          <w:sz w:val="20"/>
        </w:rPr>
        <w:t>Complex capital structure with $2.5B+ total debt and $1B preferred equity creates dilution risk and financial fragility if ATTRUBY adoption decelerates or competition intensifies</w:t>
      </w:r>
    </w:p>
    <w:p>
      <w:pPr>
        <w:spacing w:before="40" w:after="40"/>
        <w:ind w:left="283"/>
      </w:pPr>
      <w:r>
        <w:rPr>
          <w:rFonts w:ascii="Calibri" w:hAnsi="Calibri"/>
          <w:b/>
          <w:color w:val="4A6B25"/>
          <w:sz w:val="20"/>
        </w:rPr>
        <w:t xml:space="preserve">3. </w:t>
      </w:r>
      <w:r>
        <w:rPr>
          <w:rFonts w:ascii="Calibri" w:hAnsi="Calibri"/>
          <w:b w:val="0"/>
          <w:color w:val="3A4A28"/>
          <w:sz w:val="20"/>
        </w:rPr>
        <w:t>93% revenue concentration in ATTRUBY makes the investment binary — any clinical, competitive, or reimbursement setback in ATTR-CM would disproportionately impact the entire enterprise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(7/9): BridgeBio's core business of developing and selling physical small-molecule and biologic drugs for genetic diseases is structurally protected from AI displacement — patients with ATTR-CM require acoramidis tablets, and no AI tool can substitute for a physical therapeutic intervention [1]. Drug manufacturing, regulatory approval (including FDA clinical trial requirements), and physician prescribing relationships create deep moats against AI substitution. The genetic disease focus further insulates the business, as these are complex conditions requiring specialized molecular interventions that AI cannot replicate. However, AI could eventually accelerate competitor drug discovery cycles, potentially shortening BridgeBio's competitive lead in pipeline assets. AI Opportunity (0/1): While BridgeBio endorses AI use internally for improving drug development speed and quality, no AI-related products generate revenue and no specific AI-driven financial impact has been quantified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33</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Business Resilience </w:t>
      </w:r>
      <w:r>
        <w:rPr>
          <w:rFonts w:ascii="Calibri" w:hAnsi="Calibri"/>
          <w:b w:val="0"/>
          <w:color w:val="9DAF88"/>
          <w:sz w:val="17"/>
        </w:rPr>
        <w:t xml:space="preserve">  ·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Ethical Labor Practices </w:t>
      </w:r>
      <w:r>
        <w:rPr>
          <w:rFonts w:ascii="Calibri" w:hAnsi="Calibri"/>
          <w:b w:val="0"/>
          <w:color w:val="9DAF88"/>
          <w:sz w:val="17"/>
        </w:rPr>
        <w:t xml:space="preserve">  ·  </w:t>
      </w:r>
      <w:r>
        <w:rPr>
          <w:rFonts w:ascii="Calibri" w:hAnsi="Calibri"/>
          <w:b/>
          <w:color w:val="16A34A"/>
          <w:sz w:val="17"/>
        </w:rPr>
        <w:t xml:space="preserve"> Ethical Sales Practices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Fair Competition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Safety </w:t>
      </w:r>
      <w:r>
        <w:rPr>
          <w:rFonts w:ascii="Calibri" w:hAnsi="Calibri"/>
          <w:b w:val="0"/>
          <w:color w:val="9DAF88"/>
          <w:sz w:val="17"/>
        </w:rPr>
        <w:t xml:space="preserve">  ·  </w:t>
      </w:r>
      <w:r>
        <w:rPr>
          <w:rFonts w:ascii="Calibri" w:hAnsi="Calibri"/>
          <w:b/>
          <w:color w:val="16A34A"/>
          <w:sz w:val="17"/>
        </w:rPr>
        <w:t xml:space="preserve"> Regulatory Adherence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BridgeBio Pharma Q1 2026 Earnings Release — revenue $194.5M, ATTRUBY $180.6M, net loss $164M, cash $940.2M, May 2026</w:t>
      </w:r>
    </w:p>
    <w:p>
      <w:pPr>
        <w:spacing w:before="20" w:after="20"/>
        <w:ind w:left="170"/>
      </w:pPr>
      <w:r>
        <w:rPr>
          <w:rFonts w:ascii="Calibri" w:hAnsi="Calibri"/>
          <w:b/>
          <w:color w:val="4A6B25"/>
          <w:sz w:val="15"/>
        </w:rPr>
        <w:t xml:space="preserve">2. </w:t>
      </w:r>
      <w:r>
        <w:rPr>
          <w:rFonts w:ascii="Calibri" w:hAnsi="Calibri"/>
          <w:b w:val="0"/>
          <w:color w:val="3A4A28"/>
          <w:sz w:val="17"/>
        </w:rPr>
        <w:t>BridgeBio $500M Share Repurchase Authorization and $1B Preferred Equity Raise — investor relations, May-June 2026</w:t>
      </w:r>
    </w:p>
    <w:p>
      <w:pPr>
        <w:spacing w:before="20" w:after="20"/>
        <w:ind w:left="170"/>
      </w:pPr>
      <w:r>
        <w:rPr>
          <w:rFonts w:ascii="Calibri" w:hAnsi="Calibri"/>
          <w:b/>
          <w:color w:val="4A6B25"/>
          <w:sz w:val="15"/>
        </w:rPr>
        <w:t xml:space="preserve">3. </w:t>
      </w:r>
      <w:r>
        <w:rPr>
          <w:rFonts w:ascii="Calibri" w:hAnsi="Calibri"/>
          <w:b w:val="0"/>
          <w:color w:val="3A4A28"/>
          <w:sz w:val="17"/>
        </w:rPr>
        <w:t>BridgeBio Leadership and Hub-and-Spoke Model Coverage — investor presentations, LinkedIn, corporate website, 2026</w:t>
      </w:r>
    </w:p>
    <w:p>
      <w:pPr>
        <w:spacing w:before="20" w:after="20"/>
        <w:ind w:left="170"/>
      </w:pPr>
      <w:r>
        <w:rPr>
          <w:rFonts w:ascii="Calibri" w:hAnsi="Calibri"/>
          <w:b/>
          <w:color w:val="4A6B25"/>
          <w:sz w:val="15"/>
        </w:rPr>
        <w:t xml:space="preserve">4. </w:t>
      </w:r>
      <w:r>
        <w:rPr>
          <w:rFonts w:ascii="Calibri" w:hAnsi="Calibri"/>
          <w:b w:val="0"/>
          <w:color w:val="3A4A28"/>
          <w:sz w:val="17"/>
        </w:rPr>
        <w:t>BridgeBio Board Compensation Controversy — Bloomberg Law, shareholder lawsuit challenging $1.2M/director annual compensation, 2024</w:t>
      </w:r>
    </w:p>
    <w:p>
      <w:pPr>
        <w:spacing w:before="20" w:after="20"/>
        <w:ind w:left="170"/>
      </w:pPr>
      <w:r>
        <w:rPr>
          <w:rFonts w:ascii="Calibri" w:hAnsi="Calibri"/>
          <w:b/>
          <w:color w:val="4A6B25"/>
          <w:sz w:val="15"/>
        </w:rPr>
        <w:t xml:space="preserve">5. </w:t>
      </w:r>
      <w:r>
        <w:rPr>
          <w:rFonts w:ascii="Calibri" w:hAnsi="Calibri"/>
          <w:b w:val="0"/>
          <w:color w:val="3A4A28"/>
          <w:sz w:val="17"/>
        </w:rPr>
        <w:t>Yahoo Finance — BBIO Key Statistics and Financial Data, accessed July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